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7D8328" w14:textId="6939A84C" w:rsidR="00343220" w:rsidRDefault="001001C1" w:rsidP="00C12738">
      <w:pPr>
        <w:spacing w:line="480" w:lineRule="auto"/>
        <w:jc w:val="center"/>
        <w:rPr>
          <w:rFonts w:eastAsia="Arial" w:cs="Arial"/>
          <w:b/>
          <w:bCs/>
        </w:rPr>
      </w:pPr>
      <w:r>
        <w:rPr>
          <w:rFonts w:eastAsia="Arial" w:cs="Arial"/>
          <w:b/>
          <w:bCs/>
          <w:noProof/>
        </w:rPr>
        <w:drawing>
          <wp:anchor distT="0" distB="0" distL="114300" distR="114300" simplePos="0" relativeHeight="251670528" behindDoc="0" locked="0" layoutInCell="1" allowOverlap="1" wp14:anchorId="777C042E" wp14:editId="7A99E405">
            <wp:simplePos x="0" y="0"/>
            <wp:positionH relativeFrom="margin">
              <wp:posOffset>-647700</wp:posOffset>
            </wp:positionH>
            <wp:positionV relativeFrom="margin">
              <wp:posOffset>-781050</wp:posOffset>
            </wp:positionV>
            <wp:extent cx="7376795" cy="1457325"/>
            <wp:effectExtent l="0" t="0" r="0" b="9525"/>
            <wp:wrapSquare wrapText="bothSides"/>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76795" cy="1457325"/>
                    </a:xfrm>
                    <a:prstGeom prst="rect">
                      <a:avLst/>
                    </a:prstGeom>
                    <a:noFill/>
                  </pic:spPr>
                </pic:pic>
              </a:graphicData>
            </a:graphic>
          </wp:anchor>
        </w:drawing>
      </w:r>
      <w:r w:rsidR="00D25722">
        <w:rPr>
          <w:noProof/>
          <w:lang w:bidi="es-ES"/>
        </w:rPr>
        <mc:AlternateContent>
          <mc:Choice Requires="wpg">
            <w:drawing>
              <wp:anchor distT="0" distB="0" distL="114300" distR="114300" simplePos="0" relativeHeight="251657215" behindDoc="0" locked="0" layoutInCell="1" allowOverlap="1" wp14:anchorId="38C54CF4" wp14:editId="1C270755">
                <wp:simplePos x="0" y="0"/>
                <wp:positionH relativeFrom="column">
                  <wp:posOffset>-375285</wp:posOffset>
                </wp:positionH>
                <wp:positionV relativeFrom="paragraph">
                  <wp:posOffset>734695</wp:posOffset>
                </wp:positionV>
                <wp:extent cx="6856918" cy="6863369"/>
                <wp:effectExtent l="0" t="0" r="1270" b="20320"/>
                <wp:wrapNone/>
                <wp:docPr id="34" name="Grupo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856918" cy="6863369"/>
                          <a:chOff x="0" y="0"/>
                          <a:chExt cx="8352674" cy="8360757"/>
                        </a:xfrm>
                      </wpg:grpSpPr>
                      <wps:wsp>
                        <wps:cNvPr id="38" name="Elipse 9"/>
                        <wps:cNvSpPr/>
                        <wps:spPr>
                          <a:xfrm>
                            <a:off x="1427018" y="1371600"/>
                            <a:ext cx="5935980" cy="5038725"/>
                          </a:xfrm>
                          <a:prstGeom prst="hexagon">
                            <a:avLst/>
                          </a:prstGeom>
                          <a:noFill/>
                          <a:ln w="3175">
                            <a:solidFill>
                              <a:schemeClr val="tx1">
                                <a:alpha val="10000"/>
                              </a:schemeClr>
                            </a:solidFill>
                          </a:ln>
                        </wps:spPr>
                        <wps:style>
                          <a:lnRef idx="0">
                            <a:scrgbClr r="0" g="0" b="0"/>
                          </a:lnRef>
                          <a:fillRef idx="0">
                            <a:scrgbClr r="0" g="0" b="0"/>
                          </a:fillRef>
                          <a:effectRef idx="0">
                            <a:scrgbClr r="0" g="0" b="0"/>
                          </a:effectRef>
                          <a:fontRef idx="minor">
                            <a:schemeClr val="lt1"/>
                          </a:fontRef>
                        </wps:style>
                        <wps:txbx>
                          <w:txbxContent>
                            <w:p w14:paraId="271E6A6B" w14:textId="77777777" w:rsidR="00ED57B1" w:rsidRDefault="00ED57B1" w:rsidP="00343220">
                              <w:pPr>
                                <w:jc w:val="center"/>
                              </w:pPr>
                              <w:r>
                                <w:rPr>
                                  <w:lang w:bidi="es-ES"/>
                                </w:rPr>
                                <w:t>v</w:t>
                              </w:r>
                            </w:p>
                          </w:txbxContent>
                        </wps:txbx>
                        <wps:bodyPr rtlCol="0" anchor="ctr"/>
                      </wps:wsp>
                      <wps:wsp>
                        <wps:cNvPr id="39" name="Elipse 11"/>
                        <wps:cNvSpPr/>
                        <wps:spPr>
                          <a:xfrm>
                            <a:off x="0" y="41564"/>
                            <a:ext cx="4512945" cy="3830320"/>
                          </a:xfrm>
                          <a:prstGeom prst="hexagon">
                            <a:avLst/>
                          </a:prstGeom>
                          <a:noFill/>
                          <a:ln w="6350">
                            <a:solidFill>
                              <a:schemeClr val="tx1">
                                <a:alpha val="10000"/>
                              </a:schemeClr>
                            </a:solidFill>
                            <a:prstDash val="sysDot"/>
                          </a:ln>
                        </wps:spPr>
                        <wps:style>
                          <a:lnRef idx="0">
                            <a:scrgbClr r="0" g="0" b="0"/>
                          </a:lnRef>
                          <a:fillRef idx="0">
                            <a:scrgbClr r="0" g="0" b="0"/>
                          </a:fillRef>
                          <a:effectRef idx="0">
                            <a:scrgbClr r="0" g="0" b="0"/>
                          </a:effectRef>
                          <a:fontRef idx="minor">
                            <a:schemeClr val="lt1"/>
                          </a:fontRef>
                        </wps:style>
                        <wps:bodyPr rtlCol="0" anchor="ctr"/>
                      </wps:wsp>
                      <wps:wsp>
                        <wps:cNvPr id="41" name="Elipse 11"/>
                        <wps:cNvSpPr/>
                        <wps:spPr>
                          <a:xfrm>
                            <a:off x="4876800" y="5694219"/>
                            <a:ext cx="2506980" cy="2127885"/>
                          </a:xfrm>
                          <a:prstGeom prst="hexagon">
                            <a:avLst/>
                          </a:prstGeom>
                          <a:noFill/>
                          <a:ln w="6350">
                            <a:solidFill>
                              <a:schemeClr val="tx1">
                                <a:alpha val="10000"/>
                              </a:schemeClr>
                            </a:solidFill>
                            <a:prstDash val="sysDot"/>
                          </a:ln>
                        </wps:spPr>
                        <wps:style>
                          <a:lnRef idx="0">
                            <a:scrgbClr r="0" g="0" b="0"/>
                          </a:lnRef>
                          <a:fillRef idx="0">
                            <a:scrgbClr r="0" g="0" b="0"/>
                          </a:fillRef>
                          <a:effectRef idx="0">
                            <a:scrgbClr r="0" g="0" b="0"/>
                          </a:effectRef>
                          <a:fontRef idx="minor">
                            <a:schemeClr val="lt1"/>
                          </a:fontRef>
                        </wps:style>
                        <wps:bodyPr rtlCol="0" anchor="ctr"/>
                      </wps:wsp>
                      <wps:wsp>
                        <wps:cNvPr id="42" name="Elipse 11"/>
                        <wps:cNvSpPr/>
                        <wps:spPr>
                          <a:xfrm>
                            <a:off x="5264727" y="6276110"/>
                            <a:ext cx="2264410" cy="1921510"/>
                          </a:xfrm>
                          <a:prstGeom prst="hexagon">
                            <a:avLst/>
                          </a:prstGeom>
                          <a:gradFill>
                            <a:gsLst>
                              <a:gs pos="0">
                                <a:schemeClr val="accent1">
                                  <a:alpha val="20000"/>
                                </a:schemeClr>
                              </a:gs>
                              <a:gs pos="100000">
                                <a:schemeClr val="accent2">
                                  <a:alpha val="20000"/>
                                </a:schemeClr>
                              </a:gs>
                            </a:gsLst>
                            <a:lin ang="0" scaled="1"/>
                          </a:gradFill>
                          <a:ln w="6350">
                            <a:noFill/>
                            <a:prstDash val="sysDot"/>
                          </a:ln>
                        </wps:spPr>
                        <wps:style>
                          <a:lnRef idx="0">
                            <a:scrgbClr r="0" g="0" b="0"/>
                          </a:lnRef>
                          <a:fillRef idx="0">
                            <a:scrgbClr r="0" g="0" b="0"/>
                          </a:fillRef>
                          <a:effectRef idx="0">
                            <a:scrgbClr r="0" g="0" b="0"/>
                          </a:effectRef>
                          <a:fontRef idx="minor">
                            <a:schemeClr val="lt1"/>
                          </a:fontRef>
                        </wps:style>
                        <wps:bodyPr rtlCol="0" anchor="ctr"/>
                      </wps:wsp>
                      <wps:wsp>
                        <wps:cNvPr id="47" name="Elipse 11"/>
                        <wps:cNvSpPr/>
                        <wps:spPr>
                          <a:xfrm>
                            <a:off x="3976254" y="0"/>
                            <a:ext cx="4376420" cy="3713480"/>
                          </a:xfrm>
                          <a:prstGeom prst="hexagon">
                            <a:avLst/>
                          </a:prstGeom>
                          <a:solidFill>
                            <a:schemeClr val="tx1">
                              <a:lumMod val="65000"/>
                              <a:lumOff val="35000"/>
                              <a:alpha val="1000"/>
                            </a:schemeClr>
                          </a:solidFill>
                          <a:ln w="6350">
                            <a:noFill/>
                            <a:prstDash val="sysDot"/>
                          </a:ln>
                        </wps:spPr>
                        <wps:style>
                          <a:lnRef idx="0">
                            <a:scrgbClr r="0" g="0" b="0"/>
                          </a:lnRef>
                          <a:fillRef idx="0">
                            <a:scrgbClr r="0" g="0" b="0"/>
                          </a:fillRef>
                          <a:effectRef idx="0">
                            <a:scrgbClr r="0" g="0" b="0"/>
                          </a:effectRef>
                          <a:fontRef idx="minor">
                            <a:schemeClr val="lt1"/>
                          </a:fontRef>
                        </wps:style>
                        <wps:bodyPr rtlCol="0" anchor="ctr"/>
                      </wps:wsp>
                      <wps:wsp>
                        <wps:cNvPr id="49" name="Elipse 11"/>
                        <wps:cNvSpPr/>
                        <wps:spPr>
                          <a:xfrm>
                            <a:off x="235527" y="4530437"/>
                            <a:ext cx="4512945" cy="3830320"/>
                          </a:xfrm>
                          <a:prstGeom prst="hexagon">
                            <a:avLst/>
                          </a:prstGeom>
                          <a:noFill/>
                          <a:ln w="6350">
                            <a:solidFill>
                              <a:schemeClr val="tx1">
                                <a:alpha val="10000"/>
                              </a:schemeClr>
                            </a:solidFill>
                            <a:prstDash val="sysDot"/>
                          </a:ln>
                        </wps:spPr>
                        <wps:style>
                          <a:lnRef idx="0">
                            <a:scrgbClr r="0" g="0" b="0"/>
                          </a:lnRef>
                          <a:fillRef idx="0">
                            <a:scrgbClr r="0" g="0" b="0"/>
                          </a:fillRef>
                          <a:effectRef idx="0">
                            <a:scrgbClr r="0" g="0" b="0"/>
                          </a:effectRef>
                          <a:fontRef idx="minor">
                            <a:schemeClr val="lt1"/>
                          </a:fontRef>
                        </wps:style>
                        <wps:bodyPr rtlCol="0" anchor="ctr"/>
                      </wps:wsp>
                      <wps:wsp>
                        <wps:cNvPr id="52" name="Elipse 11"/>
                        <wps:cNvSpPr/>
                        <wps:spPr>
                          <a:xfrm>
                            <a:off x="651164" y="5070764"/>
                            <a:ext cx="3096260" cy="2626995"/>
                          </a:xfrm>
                          <a:prstGeom prst="hexagon">
                            <a:avLst/>
                          </a:prstGeom>
                          <a:solidFill>
                            <a:schemeClr val="tx1">
                              <a:lumMod val="65000"/>
                              <a:lumOff val="35000"/>
                              <a:alpha val="1000"/>
                            </a:schemeClr>
                          </a:solidFill>
                          <a:ln w="6350">
                            <a:noFill/>
                            <a:prstDash val="sysDot"/>
                          </a:ln>
                        </wps:spPr>
                        <wps:style>
                          <a:lnRef idx="0">
                            <a:scrgbClr r="0" g="0" b="0"/>
                          </a:lnRef>
                          <a:fillRef idx="0">
                            <a:scrgbClr r="0" g="0" b="0"/>
                          </a:fillRef>
                          <a:effectRef idx="0">
                            <a:scrgbClr r="0" g="0" b="0"/>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38C54CF4" id="Grupo 34" o:spid="_x0000_s1026" alt="&quot;&quot;" style="position:absolute;left:0;text-align:left;margin-left:-29.55pt;margin-top:57.85pt;width:539.9pt;height:540.4pt;z-index:251657215;mso-width-relative:margin;mso-height-relative:margin" coordsize="83526,83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Elipse 9" o:spid="_x0000_s1027" type="#_x0000_t9" style="position:absolute;left:14270;top:13716;width:59359;height:50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" adj="4584" filled="f" strokecolor="black [3213]" strokeweight=".25pt">
                  <v:stroke opacity="6682f"/>
                  <v:textbox>
                    <w:txbxContent>
                      <w:p w14:paraId="271E6A6B" w14:textId="77777777" w:rsidR="00ED57B1" w:rsidRDefault="00ED57B1" w:rsidP="00343220">
                        <w:pPr>
                          <w:jc w:val="center"/>
                        </w:pPr>
                        <w:r>
                          <w:rPr>
                            <w:lang w:bidi="es-ES"/>
                          </w:rPr>
                          <w:t>v</w:t>
                        </w:r>
                      </w:p>
                    </w:txbxContent>
                  </v:textbox>
                </v:shape>
                <v:shape id="Elipse 11" o:spid="_x0000_s1028" type="#_x0000_t9" style="position:absolute;top:415;width:45129;height:38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" adj="4583" filled="f" strokecolor="black [3213]" strokeweight=".5pt">
                  <v:stroke dashstyle="1 1" opacity="6682f"/>
                </v:shape>
                <v:shape id="Elipse 11" o:spid="_x0000_s1029" type="#_x0000_t9" style="position:absolute;left:48768;top:56942;width:25069;height:212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" adj="4583" filled="f" strokecolor="black [3213]" strokeweight=".5pt">
                  <v:stroke dashstyle="1 1" opacity="6682f"/>
                </v:shape>
                <v:shape id="Elipse 11" o:spid="_x0000_s1030" type="#_x0000_t9" style="position:absolute;left:52647;top:62761;width:22644;height:192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" adj="4582" fillcolor="#4472c4 [3204]" stroked="f" strokeweight=".5pt">
                  <v:fill opacity="13107f" color2="#ed7d31 [3205]" o:opacity2="13107f" angle="90" focus="100%" type="gradient"/>
                  <v:stroke dashstyle="1 1"/>
                </v:shape>
                <v:shape id="Elipse 11" o:spid="_x0000_s1031" type="#_x0000_t9" style="position:absolute;left:39762;width:43764;height:371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" adj="4582" fillcolor="#5a5a5a [2109]" stroked="f" strokeweight=".5pt">
                  <v:fill opacity="771f"/>
                  <v:stroke dashstyle="1 1"/>
                </v:shape>
                <v:shape id="Elipse 11" o:spid="_x0000_s1032" type="#_x0000_t9" style="position:absolute;left:2355;top:45304;width:45129;height:38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" adj="4583" filled="f" strokecolor="black [3213]" strokeweight=".5pt">
                  <v:stroke dashstyle="1 1" opacity="6682f"/>
                </v:shape>
                <v:shape id="Elipse 11" o:spid="_x0000_s1033" type="#_x0000_t9" style="position:absolute;left:6511;top:50707;width:30963;height:26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" adj="4582" fillcolor="#5a5a5a [2109]" stroked="f" strokeweight=".5pt">
                  <v:fill opacity="771f"/>
                  <v:stroke dashstyle="1 1"/>
                </v:shape>
              </v:group>
            </w:pict>
          </mc:Fallback>
        </mc:AlternateContent>
      </w:r>
    </w:p>
    <w:p w14:paraId="5FF5D9CB" w14:textId="0C8519C1" w:rsidR="006371D8" w:rsidRPr="00397F25" w:rsidRDefault="006371D8" w:rsidP="00C12738">
      <w:pPr>
        <w:spacing w:line="480" w:lineRule="auto"/>
        <w:jc w:val="center"/>
        <w:rPr>
          <w:rFonts w:eastAsia="Arial" w:cs="Arial"/>
          <w:b/>
          <w:bCs/>
        </w:rPr>
      </w:pPr>
      <w:r w:rsidRPr="00397F25">
        <w:rPr>
          <w:rFonts w:eastAsia="Arial" w:cs="Arial"/>
          <w:b/>
          <w:bCs/>
        </w:rPr>
        <w:t>DIAGNÓSTICO AMBIENTAL LOCALIDAD DE LOS MÁRTIRES</w:t>
      </w:r>
    </w:p>
    <w:p w14:paraId="3E4D498C" w14:textId="46B36650" w:rsidR="00C12738" w:rsidRDefault="00C12738" w:rsidP="00C12738">
      <w:pPr>
        <w:spacing w:line="480" w:lineRule="auto"/>
        <w:jc w:val="center"/>
        <w:rPr>
          <w:rFonts w:eastAsia="Arial" w:cs="Arial"/>
        </w:rPr>
      </w:pPr>
    </w:p>
    <w:p w14:paraId="55602B19" w14:textId="5C6FA844" w:rsidR="006371D8" w:rsidRDefault="00D25722" w:rsidP="00C12738">
      <w:pPr>
        <w:spacing w:line="480" w:lineRule="auto"/>
        <w:jc w:val="center"/>
        <w:rPr>
          <w:rFonts w:eastAsia="Arial" w:cs="Arial"/>
        </w:rPr>
      </w:pPr>
      <w:r>
        <w:rPr>
          <w:noProof/>
        </w:rPr>
        <w:drawing>
          <wp:anchor distT="0" distB="0" distL="114300" distR="114300" simplePos="0" relativeHeight="251658240" behindDoc="0" locked="0" layoutInCell="1" allowOverlap="1" wp14:anchorId="5DC927FF" wp14:editId="387B727F">
            <wp:simplePos x="0" y="0"/>
            <wp:positionH relativeFrom="margin">
              <wp:posOffset>1195070</wp:posOffset>
            </wp:positionH>
            <wp:positionV relativeFrom="margin">
              <wp:posOffset>2200910</wp:posOffset>
            </wp:positionV>
            <wp:extent cx="3789045" cy="2131060"/>
            <wp:effectExtent l="0" t="0" r="1905" b="2540"/>
            <wp:wrapSquare wrapText="bothSides"/>
            <wp:docPr id="50" name="Imagen 50" descr="Alcaldía Local de Los Mártires traslada su sede para reducir costos |  Bogota.gov.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caldía Local de Los Mártires traslada su sede para reducir costos |  Bogota.gov.c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9045" cy="21310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4C8C1BF" w14:textId="1F087953" w:rsidR="006371D8" w:rsidRDefault="006371D8" w:rsidP="00C12738">
      <w:pPr>
        <w:spacing w:line="480" w:lineRule="auto"/>
        <w:jc w:val="center"/>
        <w:rPr>
          <w:rFonts w:eastAsia="Arial" w:cs="Arial"/>
        </w:rPr>
      </w:pPr>
    </w:p>
    <w:p w14:paraId="1145B0CC" w14:textId="59EA67F1" w:rsidR="006371D8" w:rsidRDefault="006371D8" w:rsidP="00C12738">
      <w:pPr>
        <w:spacing w:line="480" w:lineRule="auto"/>
        <w:jc w:val="center"/>
        <w:rPr>
          <w:rFonts w:eastAsia="Arial" w:cs="Arial"/>
        </w:rPr>
      </w:pPr>
    </w:p>
    <w:p w14:paraId="3B868D39" w14:textId="06F318F9" w:rsidR="006371D8" w:rsidRDefault="006371D8" w:rsidP="00C12738">
      <w:pPr>
        <w:spacing w:line="480" w:lineRule="auto"/>
        <w:jc w:val="center"/>
        <w:rPr>
          <w:rFonts w:eastAsia="Arial" w:cs="Arial"/>
        </w:rPr>
      </w:pPr>
    </w:p>
    <w:p w14:paraId="615AD99D" w14:textId="13A7AE07" w:rsidR="006371D8" w:rsidRDefault="006371D8" w:rsidP="00C12738">
      <w:pPr>
        <w:spacing w:line="480" w:lineRule="auto"/>
        <w:jc w:val="center"/>
        <w:rPr>
          <w:rFonts w:eastAsia="Arial" w:cs="Arial"/>
        </w:rPr>
      </w:pPr>
    </w:p>
    <w:p w14:paraId="46F246C3" w14:textId="77777777" w:rsidR="006371D8" w:rsidRDefault="006371D8" w:rsidP="00C12738">
      <w:pPr>
        <w:spacing w:line="480" w:lineRule="auto"/>
        <w:jc w:val="center"/>
        <w:rPr>
          <w:rFonts w:eastAsia="Arial" w:cs="Arial"/>
        </w:rPr>
      </w:pPr>
    </w:p>
    <w:p w14:paraId="03C7AEC3" w14:textId="09B2260A" w:rsidR="00E02BDE" w:rsidRDefault="00E02BDE" w:rsidP="00C12738">
      <w:pPr>
        <w:jc w:val="center"/>
        <w:rPr>
          <w:rFonts w:eastAsia="Arial" w:cs="Arial"/>
        </w:rPr>
      </w:pPr>
    </w:p>
    <w:p w14:paraId="6A063329" w14:textId="77777777" w:rsidR="00E02BDE" w:rsidRDefault="00E02BDE" w:rsidP="00C12738">
      <w:pPr>
        <w:jc w:val="center"/>
        <w:rPr>
          <w:rFonts w:eastAsia="Arial" w:cs="Arial"/>
        </w:rPr>
      </w:pPr>
    </w:p>
    <w:p w14:paraId="056C9497" w14:textId="796FD5FD" w:rsidR="006371D8" w:rsidRPr="00397F25" w:rsidRDefault="00C12738" w:rsidP="00C12738">
      <w:pPr>
        <w:spacing w:line="480" w:lineRule="auto"/>
        <w:jc w:val="center"/>
        <w:rPr>
          <w:rFonts w:eastAsia="Arial" w:cs="Arial"/>
          <w:b/>
          <w:bCs/>
        </w:rPr>
      </w:pPr>
      <w:r w:rsidRPr="00397F25">
        <w:rPr>
          <w:rFonts w:eastAsia="Arial" w:cs="Arial"/>
          <w:b/>
          <w:bCs/>
        </w:rPr>
        <w:t>ALCALD</w:t>
      </w:r>
      <w:r w:rsidR="00397F25" w:rsidRPr="00397F25">
        <w:rPr>
          <w:rFonts w:eastAsia="Arial" w:cs="Arial"/>
          <w:b/>
          <w:bCs/>
        </w:rPr>
        <w:t>Í</w:t>
      </w:r>
      <w:r w:rsidRPr="00397F25">
        <w:rPr>
          <w:rFonts w:eastAsia="Arial" w:cs="Arial"/>
          <w:b/>
          <w:bCs/>
        </w:rPr>
        <w:t>A LOCAL DE LOS MÁRTIRES</w:t>
      </w:r>
    </w:p>
    <w:p w14:paraId="0F86288D" w14:textId="18A1F872" w:rsidR="006371D8" w:rsidRDefault="006371D8" w:rsidP="00C12738">
      <w:pPr>
        <w:spacing w:line="480" w:lineRule="auto"/>
        <w:jc w:val="center"/>
        <w:rPr>
          <w:rFonts w:eastAsia="Arial" w:cs="Arial"/>
        </w:rPr>
      </w:pPr>
    </w:p>
    <w:p w14:paraId="4A7F7BE4" w14:textId="77777777" w:rsidR="00657A7D" w:rsidRDefault="00657A7D" w:rsidP="00657A7D">
      <w:pPr>
        <w:spacing w:line="480" w:lineRule="auto"/>
        <w:ind w:firstLine="0"/>
        <w:rPr>
          <w:rFonts w:eastAsia="Arial" w:cs="Arial"/>
          <w:b/>
          <w:bCs/>
          <w:noProof/>
        </w:rPr>
      </w:pPr>
    </w:p>
    <w:p w14:paraId="57B0ADAB" w14:textId="77777777" w:rsidR="00657A7D" w:rsidRDefault="00657A7D" w:rsidP="00657A7D">
      <w:pPr>
        <w:spacing w:line="480" w:lineRule="auto"/>
        <w:ind w:firstLine="0"/>
        <w:rPr>
          <w:rFonts w:eastAsia="Arial" w:cs="Arial"/>
          <w:b/>
          <w:bCs/>
          <w:noProof/>
        </w:rPr>
      </w:pPr>
    </w:p>
    <w:p w14:paraId="0EE24762" w14:textId="77777777" w:rsidR="00657A7D" w:rsidRDefault="00657A7D" w:rsidP="00657A7D">
      <w:pPr>
        <w:spacing w:line="480" w:lineRule="auto"/>
        <w:ind w:firstLine="0"/>
        <w:rPr>
          <w:rFonts w:eastAsia="Arial" w:cs="Arial"/>
          <w:b/>
          <w:bCs/>
          <w:noProof/>
        </w:rPr>
      </w:pPr>
    </w:p>
    <w:p w14:paraId="2FB681EC" w14:textId="30036FBC" w:rsidR="0088060C" w:rsidRPr="00343220" w:rsidRDefault="00657A7D" w:rsidP="00657A7D">
      <w:pPr>
        <w:spacing w:line="480" w:lineRule="auto"/>
        <w:ind w:firstLine="0"/>
        <w:jc w:val="center"/>
        <w:rPr>
          <w:rFonts w:eastAsia="Arial" w:cs="Arial"/>
          <w:b/>
          <w:bCs/>
        </w:rPr>
      </w:pPr>
      <w:r>
        <w:rPr>
          <w:rFonts w:eastAsia="Arial" w:cs="Arial"/>
          <w:b/>
          <w:bCs/>
        </w:rPr>
        <w:t>2020</w:t>
      </w:r>
    </w:p>
    <w:sdt>
      <w:sdtPr>
        <w:rPr>
          <w:rFonts w:ascii="Arial" w:eastAsia="Calibri" w:hAnsi="Arial" w:cs="Arial"/>
          <w:color w:val="auto"/>
          <w:sz w:val="24"/>
          <w:szCs w:val="24"/>
          <w:lang w:val="es-ES"/>
        </w:rPr>
        <w:id w:val="69392073"/>
        <w:docPartObj>
          <w:docPartGallery w:val="Table of Contents"/>
          <w:docPartUnique/>
        </w:docPartObj>
      </w:sdtPr>
      <w:sdtEndPr>
        <w:rPr>
          <w:b/>
          <w:bCs/>
        </w:rPr>
      </w:sdtEndPr>
      <w:sdtContent>
        <w:p w14:paraId="4014F995" w14:textId="6AB36FFB" w:rsidR="00F40A9E" w:rsidRDefault="00BB4A9F" w:rsidP="00155940">
          <w:pPr>
            <w:pStyle w:val="TtuloTDC"/>
            <w:spacing w:before="0" w:line="240" w:lineRule="auto"/>
            <w:jc w:val="center"/>
            <w:rPr>
              <w:rFonts w:ascii="Arial" w:hAnsi="Arial" w:cs="Arial"/>
              <w:b/>
              <w:bCs/>
              <w:color w:val="auto"/>
              <w:sz w:val="24"/>
              <w:szCs w:val="24"/>
              <w:lang w:val="es-ES"/>
            </w:rPr>
          </w:pPr>
          <w:r w:rsidRPr="00C14143">
            <w:rPr>
              <w:rFonts w:ascii="Arial" w:hAnsi="Arial" w:cs="Arial"/>
              <w:b/>
              <w:bCs/>
              <w:color w:val="auto"/>
              <w:sz w:val="24"/>
              <w:szCs w:val="24"/>
              <w:lang w:val="es-ES"/>
            </w:rPr>
            <w:t>TABLA DE CONTENIDO</w:t>
          </w:r>
        </w:p>
        <w:p w14:paraId="00DBE59A" w14:textId="77777777" w:rsidR="00BB4A9F" w:rsidRPr="00BB4A9F" w:rsidRDefault="00BB4A9F" w:rsidP="00EF4BE9">
          <w:pPr>
            <w:spacing w:after="0"/>
          </w:pPr>
        </w:p>
        <w:p w14:paraId="61389EB6" w14:textId="3AC766D9" w:rsidR="00ED57B1" w:rsidRDefault="00F40A9E" w:rsidP="00ED57B1">
          <w:pPr>
            <w:pStyle w:val="TDC1"/>
            <w:rPr>
              <w:rFonts w:asciiTheme="minorHAnsi" w:eastAsiaTheme="minorEastAsia" w:hAnsiTheme="minorHAnsi" w:cstheme="minorBidi"/>
              <w:noProof/>
              <w:lang w:val="es-419"/>
            </w:rPr>
          </w:pPr>
          <w:r w:rsidRPr="00C14143">
            <w:rPr>
              <w:rFonts w:cs="Arial"/>
              <w:sz w:val="24"/>
              <w:szCs w:val="24"/>
            </w:rPr>
            <w:fldChar w:fldCharType="begin"/>
          </w:r>
          <w:r w:rsidRPr="00C14143">
            <w:rPr>
              <w:rFonts w:cs="Arial"/>
              <w:sz w:val="24"/>
              <w:szCs w:val="24"/>
            </w:rPr>
            <w:instrText xml:space="preserve"> TOC \o "1-3" \h \z \u </w:instrText>
          </w:r>
          <w:r w:rsidRPr="00C14143">
            <w:rPr>
              <w:rFonts w:cs="Arial"/>
              <w:sz w:val="24"/>
              <w:szCs w:val="24"/>
            </w:rPr>
            <w:fldChar w:fldCharType="separate"/>
          </w:r>
          <w:hyperlink w:anchor="_Toc57238596" w:history="1">
            <w:r w:rsidR="00ED57B1" w:rsidRPr="00EF07B2">
              <w:rPr>
                <w:rStyle w:val="Hipervnculo"/>
                <w:noProof/>
              </w:rPr>
              <w:t>INTRODUCCIÓN</w:t>
            </w:r>
            <w:r w:rsidR="00ED57B1">
              <w:rPr>
                <w:noProof/>
                <w:webHidden/>
              </w:rPr>
              <w:tab/>
            </w:r>
            <w:r w:rsidR="00ED57B1">
              <w:rPr>
                <w:noProof/>
                <w:webHidden/>
              </w:rPr>
              <w:fldChar w:fldCharType="begin"/>
            </w:r>
            <w:r w:rsidR="00ED57B1">
              <w:rPr>
                <w:noProof/>
                <w:webHidden/>
              </w:rPr>
              <w:instrText xml:space="preserve"> PAGEREF _Toc57238596 \h </w:instrText>
            </w:r>
            <w:r w:rsidR="00ED57B1">
              <w:rPr>
                <w:noProof/>
                <w:webHidden/>
              </w:rPr>
            </w:r>
            <w:r w:rsidR="00ED57B1">
              <w:rPr>
                <w:noProof/>
                <w:webHidden/>
              </w:rPr>
              <w:fldChar w:fldCharType="separate"/>
            </w:r>
            <w:r w:rsidR="00ED57B1">
              <w:rPr>
                <w:noProof/>
                <w:webHidden/>
              </w:rPr>
              <w:t>7</w:t>
            </w:r>
            <w:r w:rsidR="00ED57B1">
              <w:rPr>
                <w:noProof/>
                <w:webHidden/>
              </w:rPr>
              <w:fldChar w:fldCharType="end"/>
            </w:r>
          </w:hyperlink>
        </w:p>
        <w:p w14:paraId="542D8C2D" w14:textId="45AE020A" w:rsidR="00ED57B1" w:rsidRDefault="007E54F3" w:rsidP="00ED57B1">
          <w:pPr>
            <w:pStyle w:val="TDC1"/>
            <w:rPr>
              <w:rFonts w:asciiTheme="minorHAnsi" w:eastAsiaTheme="minorEastAsia" w:hAnsiTheme="minorHAnsi" w:cstheme="minorBidi"/>
              <w:noProof/>
              <w:lang w:val="es-419"/>
            </w:rPr>
          </w:pPr>
          <w:hyperlink w:anchor="_Toc57238597" w:history="1">
            <w:r w:rsidR="00ED57B1" w:rsidRPr="00EF07B2">
              <w:rPr>
                <w:rStyle w:val="Hipervnculo"/>
                <w:noProof/>
              </w:rPr>
              <w:t>CAPÍTULO 1. ASPECTOS GENERALES.</w:t>
            </w:r>
            <w:r w:rsidR="00ED57B1">
              <w:rPr>
                <w:noProof/>
                <w:webHidden/>
              </w:rPr>
              <w:tab/>
            </w:r>
            <w:r w:rsidR="00ED57B1">
              <w:rPr>
                <w:noProof/>
                <w:webHidden/>
              </w:rPr>
              <w:fldChar w:fldCharType="begin"/>
            </w:r>
            <w:r w:rsidR="00ED57B1">
              <w:rPr>
                <w:noProof/>
                <w:webHidden/>
              </w:rPr>
              <w:instrText xml:space="preserve"> PAGEREF _Toc57238597 \h </w:instrText>
            </w:r>
            <w:r w:rsidR="00ED57B1">
              <w:rPr>
                <w:noProof/>
                <w:webHidden/>
              </w:rPr>
            </w:r>
            <w:r w:rsidR="00ED57B1">
              <w:rPr>
                <w:noProof/>
                <w:webHidden/>
              </w:rPr>
              <w:fldChar w:fldCharType="separate"/>
            </w:r>
            <w:r w:rsidR="00ED57B1">
              <w:rPr>
                <w:noProof/>
                <w:webHidden/>
              </w:rPr>
              <w:t>8</w:t>
            </w:r>
            <w:r w:rsidR="00ED57B1">
              <w:rPr>
                <w:noProof/>
                <w:webHidden/>
              </w:rPr>
              <w:fldChar w:fldCharType="end"/>
            </w:r>
          </w:hyperlink>
        </w:p>
        <w:p w14:paraId="72676EF0" w14:textId="5668615D" w:rsidR="00ED57B1" w:rsidRDefault="007E54F3">
          <w:pPr>
            <w:pStyle w:val="TDC2"/>
            <w:tabs>
              <w:tab w:val="right" w:leader="dot" w:pos="9394"/>
            </w:tabs>
            <w:rPr>
              <w:rFonts w:asciiTheme="minorHAnsi" w:eastAsiaTheme="minorEastAsia" w:hAnsiTheme="minorHAnsi" w:cstheme="minorBidi"/>
              <w:noProof/>
              <w:lang w:val="es-419"/>
            </w:rPr>
          </w:pPr>
          <w:hyperlink w:anchor="_Toc57238598" w:history="1">
            <w:r w:rsidR="00ED57B1" w:rsidRPr="00EF07B2">
              <w:rPr>
                <w:rStyle w:val="Hipervnculo"/>
                <w:noProof/>
              </w:rPr>
              <w:t>1.1 Ubicación geográfica.</w:t>
            </w:r>
            <w:r w:rsidR="00ED57B1">
              <w:rPr>
                <w:noProof/>
                <w:webHidden/>
              </w:rPr>
              <w:tab/>
            </w:r>
            <w:r w:rsidR="00ED57B1">
              <w:rPr>
                <w:noProof/>
                <w:webHidden/>
              </w:rPr>
              <w:fldChar w:fldCharType="begin"/>
            </w:r>
            <w:r w:rsidR="00ED57B1">
              <w:rPr>
                <w:noProof/>
                <w:webHidden/>
              </w:rPr>
              <w:instrText xml:space="preserve"> PAGEREF _Toc57238598 \h </w:instrText>
            </w:r>
            <w:r w:rsidR="00ED57B1">
              <w:rPr>
                <w:noProof/>
                <w:webHidden/>
              </w:rPr>
            </w:r>
            <w:r w:rsidR="00ED57B1">
              <w:rPr>
                <w:noProof/>
                <w:webHidden/>
              </w:rPr>
              <w:fldChar w:fldCharType="separate"/>
            </w:r>
            <w:r w:rsidR="00ED57B1">
              <w:rPr>
                <w:noProof/>
                <w:webHidden/>
              </w:rPr>
              <w:t>8</w:t>
            </w:r>
            <w:r w:rsidR="00ED57B1">
              <w:rPr>
                <w:noProof/>
                <w:webHidden/>
              </w:rPr>
              <w:fldChar w:fldCharType="end"/>
            </w:r>
          </w:hyperlink>
        </w:p>
        <w:p w14:paraId="0517F02B" w14:textId="16DA8632" w:rsidR="00ED57B1" w:rsidRDefault="007E54F3">
          <w:pPr>
            <w:pStyle w:val="TDC2"/>
            <w:tabs>
              <w:tab w:val="right" w:leader="dot" w:pos="9394"/>
            </w:tabs>
            <w:rPr>
              <w:rFonts w:asciiTheme="minorHAnsi" w:eastAsiaTheme="minorEastAsia" w:hAnsiTheme="minorHAnsi" w:cstheme="minorBidi"/>
              <w:noProof/>
              <w:lang w:val="es-419"/>
            </w:rPr>
          </w:pPr>
          <w:hyperlink w:anchor="_Toc57238599" w:history="1">
            <w:r w:rsidR="00ED57B1" w:rsidRPr="00EF07B2">
              <w:rPr>
                <w:rStyle w:val="Hipervnculo"/>
                <w:noProof/>
              </w:rPr>
              <w:t>1.2 Aspectos territoriales.</w:t>
            </w:r>
            <w:r w:rsidR="00ED57B1">
              <w:rPr>
                <w:noProof/>
                <w:webHidden/>
              </w:rPr>
              <w:tab/>
            </w:r>
            <w:r w:rsidR="00ED57B1">
              <w:rPr>
                <w:noProof/>
                <w:webHidden/>
              </w:rPr>
              <w:fldChar w:fldCharType="begin"/>
            </w:r>
            <w:r w:rsidR="00ED57B1">
              <w:rPr>
                <w:noProof/>
                <w:webHidden/>
              </w:rPr>
              <w:instrText xml:space="preserve"> PAGEREF _Toc57238599 \h </w:instrText>
            </w:r>
            <w:r w:rsidR="00ED57B1">
              <w:rPr>
                <w:noProof/>
                <w:webHidden/>
              </w:rPr>
            </w:r>
            <w:r w:rsidR="00ED57B1">
              <w:rPr>
                <w:noProof/>
                <w:webHidden/>
              </w:rPr>
              <w:fldChar w:fldCharType="separate"/>
            </w:r>
            <w:r w:rsidR="00ED57B1">
              <w:rPr>
                <w:noProof/>
                <w:webHidden/>
              </w:rPr>
              <w:t>8</w:t>
            </w:r>
            <w:r w:rsidR="00ED57B1">
              <w:rPr>
                <w:noProof/>
                <w:webHidden/>
              </w:rPr>
              <w:fldChar w:fldCharType="end"/>
            </w:r>
          </w:hyperlink>
        </w:p>
        <w:p w14:paraId="02654238" w14:textId="22642464" w:rsidR="00ED57B1" w:rsidRDefault="007E54F3">
          <w:pPr>
            <w:pStyle w:val="TDC2"/>
            <w:tabs>
              <w:tab w:val="right" w:leader="dot" w:pos="9394"/>
            </w:tabs>
            <w:rPr>
              <w:rFonts w:asciiTheme="minorHAnsi" w:eastAsiaTheme="minorEastAsia" w:hAnsiTheme="minorHAnsi" w:cstheme="minorBidi"/>
              <w:noProof/>
              <w:lang w:val="es-419"/>
            </w:rPr>
          </w:pPr>
          <w:hyperlink w:anchor="_Toc57238600" w:history="1">
            <w:r w:rsidR="00ED57B1" w:rsidRPr="00EF07B2">
              <w:rPr>
                <w:rStyle w:val="Hipervnculo"/>
                <w:noProof/>
              </w:rPr>
              <w:t>1.3 Reseña histórica.</w:t>
            </w:r>
            <w:r w:rsidR="00ED57B1">
              <w:rPr>
                <w:noProof/>
                <w:webHidden/>
              </w:rPr>
              <w:tab/>
            </w:r>
            <w:r w:rsidR="00ED57B1">
              <w:rPr>
                <w:noProof/>
                <w:webHidden/>
              </w:rPr>
              <w:fldChar w:fldCharType="begin"/>
            </w:r>
            <w:r w:rsidR="00ED57B1">
              <w:rPr>
                <w:noProof/>
                <w:webHidden/>
              </w:rPr>
              <w:instrText xml:space="preserve"> PAGEREF _Toc57238600 \h </w:instrText>
            </w:r>
            <w:r w:rsidR="00ED57B1">
              <w:rPr>
                <w:noProof/>
                <w:webHidden/>
              </w:rPr>
            </w:r>
            <w:r w:rsidR="00ED57B1">
              <w:rPr>
                <w:noProof/>
                <w:webHidden/>
              </w:rPr>
              <w:fldChar w:fldCharType="separate"/>
            </w:r>
            <w:r w:rsidR="00ED57B1">
              <w:rPr>
                <w:noProof/>
                <w:webHidden/>
              </w:rPr>
              <w:t>10</w:t>
            </w:r>
            <w:r w:rsidR="00ED57B1">
              <w:rPr>
                <w:noProof/>
                <w:webHidden/>
              </w:rPr>
              <w:fldChar w:fldCharType="end"/>
            </w:r>
          </w:hyperlink>
        </w:p>
        <w:p w14:paraId="01AA1259" w14:textId="0CEA05C9" w:rsidR="00ED57B1" w:rsidRDefault="007E54F3">
          <w:pPr>
            <w:pStyle w:val="TDC2"/>
            <w:tabs>
              <w:tab w:val="right" w:leader="dot" w:pos="9394"/>
            </w:tabs>
            <w:rPr>
              <w:rFonts w:asciiTheme="minorHAnsi" w:eastAsiaTheme="minorEastAsia" w:hAnsiTheme="minorHAnsi" w:cstheme="minorBidi"/>
              <w:noProof/>
              <w:lang w:val="es-419"/>
            </w:rPr>
          </w:pPr>
          <w:hyperlink w:anchor="_Toc57238601" w:history="1">
            <w:r w:rsidR="00ED57B1" w:rsidRPr="00EF07B2">
              <w:rPr>
                <w:rStyle w:val="Hipervnculo"/>
                <w:noProof/>
              </w:rPr>
              <w:t>1.4 Normatividad  ambiental.</w:t>
            </w:r>
            <w:r w:rsidR="00ED57B1">
              <w:rPr>
                <w:noProof/>
                <w:webHidden/>
              </w:rPr>
              <w:tab/>
            </w:r>
            <w:r w:rsidR="00ED57B1">
              <w:rPr>
                <w:noProof/>
                <w:webHidden/>
              </w:rPr>
              <w:fldChar w:fldCharType="begin"/>
            </w:r>
            <w:r w:rsidR="00ED57B1">
              <w:rPr>
                <w:noProof/>
                <w:webHidden/>
              </w:rPr>
              <w:instrText xml:space="preserve"> PAGEREF _Toc57238601 \h </w:instrText>
            </w:r>
            <w:r w:rsidR="00ED57B1">
              <w:rPr>
                <w:noProof/>
                <w:webHidden/>
              </w:rPr>
            </w:r>
            <w:r w:rsidR="00ED57B1">
              <w:rPr>
                <w:noProof/>
                <w:webHidden/>
              </w:rPr>
              <w:fldChar w:fldCharType="separate"/>
            </w:r>
            <w:r w:rsidR="00ED57B1">
              <w:rPr>
                <w:noProof/>
                <w:webHidden/>
              </w:rPr>
              <w:t>12</w:t>
            </w:r>
            <w:r w:rsidR="00ED57B1">
              <w:rPr>
                <w:noProof/>
                <w:webHidden/>
              </w:rPr>
              <w:fldChar w:fldCharType="end"/>
            </w:r>
          </w:hyperlink>
        </w:p>
        <w:p w14:paraId="748E960E" w14:textId="38C3A61D" w:rsidR="00ED57B1" w:rsidRDefault="007E54F3">
          <w:pPr>
            <w:pStyle w:val="TDC3"/>
            <w:tabs>
              <w:tab w:val="right" w:leader="dot" w:pos="9394"/>
            </w:tabs>
            <w:rPr>
              <w:rFonts w:asciiTheme="minorHAnsi" w:eastAsiaTheme="minorEastAsia" w:hAnsiTheme="minorHAnsi" w:cstheme="minorBidi"/>
              <w:noProof/>
              <w:lang w:val="es-419"/>
            </w:rPr>
          </w:pPr>
          <w:hyperlink w:anchor="_Toc57238602" w:history="1">
            <w:r w:rsidR="00ED57B1" w:rsidRPr="00EF07B2">
              <w:rPr>
                <w:rStyle w:val="Hipervnculo"/>
                <w:noProof/>
              </w:rPr>
              <w:t>1.4.1 Normatividad ambiental general.</w:t>
            </w:r>
            <w:r w:rsidR="00ED57B1">
              <w:rPr>
                <w:noProof/>
                <w:webHidden/>
              </w:rPr>
              <w:tab/>
            </w:r>
            <w:r w:rsidR="00ED57B1">
              <w:rPr>
                <w:noProof/>
                <w:webHidden/>
              </w:rPr>
              <w:fldChar w:fldCharType="begin"/>
            </w:r>
            <w:r w:rsidR="00ED57B1">
              <w:rPr>
                <w:noProof/>
                <w:webHidden/>
              </w:rPr>
              <w:instrText xml:space="preserve"> PAGEREF _Toc57238602 \h </w:instrText>
            </w:r>
            <w:r w:rsidR="00ED57B1">
              <w:rPr>
                <w:noProof/>
                <w:webHidden/>
              </w:rPr>
            </w:r>
            <w:r w:rsidR="00ED57B1">
              <w:rPr>
                <w:noProof/>
                <w:webHidden/>
              </w:rPr>
              <w:fldChar w:fldCharType="separate"/>
            </w:r>
            <w:r w:rsidR="00ED57B1">
              <w:rPr>
                <w:noProof/>
                <w:webHidden/>
              </w:rPr>
              <w:t>13</w:t>
            </w:r>
            <w:r w:rsidR="00ED57B1">
              <w:rPr>
                <w:noProof/>
                <w:webHidden/>
              </w:rPr>
              <w:fldChar w:fldCharType="end"/>
            </w:r>
          </w:hyperlink>
        </w:p>
        <w:p w14:paraId="1D1F90FE" w14:textId="444BE4F7" w:rsidR="00ED57B1" w:rsidRDefault="007E54F3">
          <w:pPr>
            <w:pStyle w:val="TDC2"/>
            <w:tabs>
              <w:tab w:val="right" w:leader="dot" w:pos="9394"/>
            </w:tabs>
            <w:rPr>
              <w:rFonts w:asciiTheme="minorHAnsi" w:eastAsiaTheme="minorEastAsia" w:hAnsiTheme="minorHAnsi" w:cstheme="minorBidi"/>
              <w:noProof/>
              <w:lang w:val="es-419"/>
            </w:rPr>
          </w:pPr>
          <w:hyperlink w:anchor="_Toc57238603" w:history="1">
            <w:r w:rsidR="00ED57B1" w:rsidRPr="00EF07B2">
              <w:rPr>
                <w:rStyle w:val="Hipervnculo"/>
                <w:noProof/>
              </w:rPr>
              <w:t>1.5 Articulación entre la política y la gestión ambiental local.</w:t>
            </w:r>
            <w:r w:rsidR="00ED57B1">
              <w:rPr>
                <w:noProof/>
                <w:webHidden/>
              </w:rPr>
              <w:tab/>
            </w:r>
            <w:r w:rsidR="00ED57B1">
              <w:rPr>
                <w:noProof/>
                <w:webHidden/>
              </w:rPr>
              <w:fldChar w:fldCharType="begin"/>
            </w:r>
            <w:r w:rsidR="00ED57B1">
              <w:rPr>
                <w:noProof/>
                <w:webHidden/>
              </w:rPr>
              <w:instrText xml:space="preserve"> PAGEREF _Toc57238603 \h </w:instrText>
            </w:r>
            <w:r w:rsidR="00ED57B1">
              <w:rPr>
                <w:noProof/>
                <w:webHidden/>
              </w:rPr>
            </w:r>
            <w:r w:rsidR="00ED57B1">
              <w:rPr>
                <w:noProof/>
                <w:webHidden/>
              </w:rPr>
              <w:fldChar w:fldCharType="separate"/>
            </w:r>
            <w:r w:rsidR="00ED57B1">
              <w:rPr>
                <w:noProof/>
                <w:webHidden/>
              </w:rPr>
              <w:t>25</w:t>
            </w:r>
            <w:r w:rsidR="00ED57B1">
              <w:rPr>
                <w:noProof/>
                <w:webHidden/>
              </w:rPr>
              <w:fldChar w:fldCharType="end"/>
            </w:r>
          </w:hyperlink>
        </w:p>
        <w:p w14:paraId="5F0A14F2" w14:textId="5F3C4139" w:rsidR="00ED57B1" w:rsidRDefault="007E54F3">
          <w:pPr>
            <w:pStyle w:val="TDC3"/>
            <w:tabs>
              <w:tab w:val="right" w:leader="dot" w:pos="9394"/>
            </w:tabs>
            <w:rPr>
              <w:rFonts w:asciiTheme="minorHAnsi" w:eastAsiaTheme="minorEastAsia" w:hAnsiTheme="minorHAnsi" w:cstheme="minorBidi"/>
              <w:noProof/>
              <w:lang w:val="es-419"/>
            </w:rPr>
          </w:pPr>
          <w:hyperlink w:anchor="_Toc57238604" w:history="1">
            <w:r w:rsidR="00ED57B1" w:rsidRPr="00EF07B2">
              <w:rPr>
                <w:rStyle w:val="Hipervnculo"/>
                <w:noProof/>
              </w:rPr>
              <w:t>1.5.1 Sistema Ambiental del Distrito Capital (SIAC).</w:t>
            </w:r>
            <w:r w:rsidR="00ED57B1">
              <w:rPr>
                <w:noProof/>
                <w:webHidden/>
              </w:rPr>
              <w:tab/>
            </w:r>
            <w:r w:rsidR="00ED57B1">
              <w:rPr>
                <w:noProof/>
                <w:webHidden/>
              </w:rPr>
              <w:fldChar w:fldCharType="begin"/>
            </w:r>
            <w:r w:rsidR="00ED57B1">
              <w:rPr>
                <w:noProof/>
                <w:webHidden/>
              </w:rPr>
              <w:instrText xml:space="preserve"> PAGEREF _Toc57238604 \h </w:instrText>
            </w:r>
            <w:r w:rsidR="00ED57B1">
              <w:rPr>
                <w:noProof/>
                <w:webHidden/>
              </w:rPr>
            </w:r>
            <w:r w:rsidR="00ED57B1">
              <w:rPr>
                <w:noProof/>
                <w:webHidden/>
              </w:rPr>
              <w:fldChar w:fldCharType="separate"/>
            </w:r>
            <w:r w:rsidR="00ED57B1">
              <w:rPr>
                <w:noProof/>
                <w:webHidden/>
              </w:rPr>
              <w:t>25</w:t>
            </w:r>
            <w:r w:rsidR="00ED57B1">
              <w:rPr>
                <w:noProof/>
                <w:webHidden/>
              </w:rPr>
              <w:fldChar w:fldCharType="end"/>
            </w:r>
          </w:hyperlink>
        </w:p>
        <w:p w14:paraId="20D27C5B" w14:textId="6CD4B95F" w:rsidR="00ED57B1" w:rsidRDefault="007E54F3">
          <w:pPr>
            <w:pStyle w:val="TDC3"/>
            <w:tabs>
              <w:tab w:val="right" w:leader="dot" w:pos="9394"/>
            </w:tabs>
            <w:rPr>
              <w:rFonts w:asciiTheme="minorHAnsi" w:eastAsiaTheme="minorEastAsia" w:hAnsiTheme="minorHAnsi" w:cstheme="minorBidi"/>
              <w:noProof/>
              <w:lang w:val="es-419"/>
            </w:rPr>
          </w:pPr>
          <w:hyperlink w:anchor="_Toc57238605" w:history="1">
            <w:r w:rsidR="00ED57B1" w:rsidRPr="00EF07B2">
              <w:rPr>
                <w:rStyle w:val="Hipervnculo"/>
                <w:noProof/>
              </w:rPr>
              <w:t>1.5.2 Plan de Ordenamiento Territorial.</w:t>
            </w:r>
            <w:r w:rsidR="00ED57B1">
              <w:rPr>
                <w:noProof/>
                <w:webHidden/>
              </w:rPr>
              <w:tab/>
            </w:r>
            <w:r w:rsidR="00ED57B1">
              <w:rPr>
                <w:noProof/>
                <w:webHidden/>
              </w:rPr>
              <w:fldChar w:fldCharType="begin"/>
            </w:r>
            <w:r w:rsidR="00ED57B1">
              <w:rPr>
                <w:noProof/>
                <w:webHidden/>
              </w:rPr>
              <w:instrText xml:space="preserve"> PAGEREF _Toc57238605 \h </w:instrText>
            </w:r>
            <w:r w:rsidR="00ED57B1">
              <w:rPr>
                <w:noProof/>
                <w:webHidden/>
              </w:rPr>
            </w:r>
            <w:r w:rsidR="00ED57B1">
              <w:rPr>
                <w:noProof/>
                <w:webHidden/>
              </w:rPr>
              <w:fldChar w:fldCharType="separate"/>
            </w:r>
            <w:r w:rsidR="00ED57B1">
              <w:rPr>
                <w:noProof/>
                <w:webHidden/>
              </w:rPr>
              <w:t>25</w:t>
            </w:r>
            <w:r w:rsidR="00ED57B1">
              <w:rPr>
                <w:noProof/>
                <w:webHidden/>
              </w:rPr>
              <w:fldChar w:fldCharType="end"/>
            </w:r>
          </w:hyperlink>
        </w:p>
        <w:p w14:paraId="45F96CE0" w14:textId="2F75CFF3" w:rsidR="00ED57B1" w:rsidRDefault="007E54F3">
          <w:pPr>
            <w:pStyle w:val="TDC3"/>
            <w:tabs>
              <w:tab w:val="right" w:leader="dot" w:pos="9394"/>
            </w:tabs>
            <w:rPr>
              <w:rFonts w:asciiTheme="minorHAnsi" w:eastAsiaTheme="minorEastAsia" w:hAnsiTheme="minorHAnsi" w:cstheme="minorBidi"/>
              <w:noProof/>
              <w:lang w:val="es-419"/>
            </w:rPr>
          </w:pPr>
          <w:hyperlink w:anchor="_Toc57238606" w:history="1">
            <w:r w:rsidR="00ED57B1" w:rsidRPr="00EF07B2">
              <w:rPr>
                <w:rStyle w:val="Hipervnculo"/>
                <w:noProof/>
              </w:rPr>
              <w:t>1.5.3 Plan de Gestión Ambiental 2008-2038 (PGA)</w:t>
            </w:r>
            <w:r w:rsidR="00ED57B1">
              <w:rPr>
                <w:noProof/>
                <w:webHidden/>
              </w:rPr>
              <w:tab/>
            </w:r>
            <w:r w:rsidR="00ED57B1">
              <w:rPr>
                <w:noProof/>
                <w:webHidden/>
              </w:rPr>
              <w:fldChar w:fldCharType="begin"/>
            </w:r>
            <w:r w:rsidR="00ED57B1">
              <w:rPr>
                <w:noProof/>
                <w:webHidden/>
              </w:rPr>
              <w:instrText xml:space="preserve"> PAGEREF _Toc57238606 \h </w:instrText>
            </w:r>
            <w:r w:rsidR="00ED57B1">
              <w:rPr>
                <w:noProof/>
                <w:webHidden/>
              </w:rPr>
            </w:r>
            <w:r w:rsidR="00ED57B1">
              <w:rPr>
                <w:noProof/>
                <w:webHidden/>
              </w:rPr>
              <w:fldChar w:fldCharType="separate"/>
            </w:r>
            <w:r w:rsidR="00ED57B1">
              <w:rPr>
                <w:noProof/>
                <w:webHidden/>
              </w:rPr>
              <w:t>25</w:t>
            </w:r>
            <w:r w:rsidR="00ED57B1">
              <w:rPr>
                <w:noProof/>
                <w:webHidden/>
              </w:rPr>
              <w:fldChar w:fldCharType="end"/>
            </w:r>
          </w:hyperlink>
        </w:p>
        <w:p w14:paraId="0CD2A199" w14:textId="1A2C27AF" w:rsidR="00ED57B1" w:rsidRDefault="007E54F3">
          <w:pPr>
            <w:pStyle w:val="TDC3"/>
            <w:tabs>
              <w:tab w:val="right" w:leader="dot" w:pos="9394"/>
            </w:tabs>
            <w:rPr>
              <w:rFonts w:asciiTheme="minorHAnsi" w:eastAsiaTheme="minorEastAsia" w:hAnsiTheme="minorHAnsi" w:cstheme="minorBidi"/>
              <w:noProof/>
              <w:lang w:val="es-419"/>
            </w:rPr>
          </w:pPr>
          <w:hyperlink w:anchor="_Toc57238607" w:history="1">
            <w:r w:rsidR="00ED57B1" w:rsidRPr="00EF07B2">
              <w:rPr>
                <w:rStyle w:val="Hipervnculo"/>
                <w:noProof/>
              </w:rPr>
              <w:t>1.5.4  Plan Cuatrienal Ambiental</w:t>
            </w:r>
            <w:r w:rsidR="00ED57B1">
              <w:rPr>
                <w:noProof/>
                <w:webHidden/>
              </w:rPr>
              <w:tab/>
            </w:r>
            <w:r w:rsidR="00ED57B1">
              <w:rPr>
                <w:noProof/>
                <w:webHidden/>
              </w:rPr>
              <w:fldChar w:fldCharType="begin"/>
            </w:r>
            <w:r w:rsidR="00ED57B1">
              <w:rPr>
                <w:noProof/>
                <w:webHidden/>
              </w:rPr>
              <w:instrText xml:space="preserve"> PAGEREF _Toc57238607 \h </w:instrText>
            </w:r>
            <w:r w:rsidR="00ED57B1">
              <w:rPr>
                <w:noProof/>
                <w:webHidden/>
              </w:rPr>
            </w:r>
            <w:r w:rsidR="00ED57B1">
              <w:rPr>
                <w:noProof/>
                <w:webHidden/>
              </w:rPr>
              <w:fldChar w:fldCharType="separate"/>
            </w:r>
            <w:r w:rsidR="00ED57B1">
              <w:rPr>
                <w:noProof/>
                <w:webHidden/>
              </w:rPr>
              <w:t>25</w:t>
            </w:r>
            <w:r w:rsidR="00ED57B1">
              <w:rPr>
                <w:noProof/>
                <w:webHidden/>
              </w:rPr>
              <w:fldChar w:fldCharType="end"/>
            </w:r>
          </w:hyperlink>
        </w:p>
        <w:p w14:paraId="078E245B" w14:textId="3749CF1D" w:rsidR="00ED57B1" w:rsidRDefault="007E54F3">
          <w:pPr>
            <w:pStyle w:val="TDC2"/>
            <w:tabs>
              <w:tab w:val="right" w:leader="dot" w:pos="9394"/>
            </w:tabs>
            <w:rPr>
              <w:rFonts w:asciiTheme="minorHAnsi" w:eastAsiaTheme="minorEastAsia" w:hAnsiTheme="minorHAnsi" w:cstheme="minorBidi"/>
              <w:noProof/>
              <w:lang w:val="es-419"/>
            </w:rPr>
          </w:pPr>
          <w:hyperlink w:anchor="_Toc57238608" w:history="1">
            <w:r w:rsidR="00ED57B1" w:rsidRPr="00EF07B2">
              <w:rPr>
                <w:rStyle w:val="Hipervnculo"/>
                <w:noProof/>
              </w:rPr>
              <w:t>1.6 Situaciones conflictivas ambientales.</w:t>
            </w:r>
            <w:r w:rsidR="00ED57B1">
              <w:rPr>
                <w:noProof/>
                <w:webHidden/>
              </w:rPr>
              <w:tab/>
            </w:r>
            <w:r w:rsidR="00ED57B1">
              <w:rPr>
                <w:noProof/>
                <w:webHidden/>
              </w:rPr>
              <w:fldChar w:fldCharType="begin"/>
            </w:r>
            <w:r w:rsidR="00ED57B1">
              <w:rPr>
                <w:noProof/>
                <w:webHidden/>
              </w:rPr>
              <w:instrText xml:space="preserve"> PAGEREF _Toc57238608 \h </w:instrText>
            </w:r>
            <w:r w:rsidR="00ED57B1">
              <w:rPr>
                <w:noProof/>
                <w:webHidden/>
              </w:rPr>
            </w:r>
            <w:r w:rsidR="00ED57B1">
              <w:rPr>
                <w:noProof/>
                <w:webHidden/>
              </w:rPr>
              <w:fldChar w:fldCharType="separate"/>
            </w:r>
            <w:r w:rsidR="00ED57B1">
              <w:rPr>
                <w:noProof/>
                <w:webHidden/>
              </w:rPr>
              <w:t>27</w:t>
            </w:r>
            <w:r w:rsidR="00ED57B1">
              <w:rPr>
                <w:noProof/>
                <w:webHidden/>
              </w:rPr>
              <w:fldChar w:fldCharType="end"/>
            </w:r>
          </w:hyperlink>
        </w:p>
        <w:p w14:paraId="73156C41" w14:textId="7FA294E9" w:rsidR="00ED57B1" w:rsidRDefault="007E54F3" w:rsidP="00ED57B1">
          <w:pPr>
            <w:pStyle w:val="TDC1"/>
            <w:rPr>
              <w:rFonts w:asciiTheme="minorHAnsi" w:eastAsiaTheme="minorEastAsia" w:hAnsiTheme="minorHAnsi" w:cstheme="minorBidi"/>
              <w:noProof/>
              <w:lang w:val="es-419"/>
            </w:rPr>
          </w:pPr>
          <w:hyperlink w:anchor="_Toc57238609" w:history="1">
            <w:r w:rsidR="00ED57B1" w:rsidRPr="00EF07B2">
              <w:rPr>
                <w:rStyle w:val="Hipervnculo"/>
                <w:noProof/>
              </w:rPr>
              <w:t>CAPÍTULO 2. FACTORES FÍSICO BIÓTICOS</w:t>
            </w:r>
            <w:r w:rsidR="00ED57B1">
              <w:rPr>
                <w:noProof/>
                <w:webHidden/>
              </w:rPr>
              <w:tab/>
            </w:r>
            <w:r w:rsidR="00ED57B1">
              <w:rPr>
                <w:noProof/>
                <w:webHidden/>
              </w:rPr>
              <w:fldChar w:fldCharType="begin"/>
            </w:r>
            <w:r w:rsidR="00ED57B1">
              <w:rPr>
                <w:noProof/>
                <w:webHidden/>
              </w:rPr>
              <w:instrText xml:space="preserve"> PAGEREF _Toc57238609 \h </w:instrText>
            </w:r>
            <w:r w:rsidR="00ED57B1">
              <w:rPr>
                <w:noProof/>
                <w:webHidden/>
              </w:rPr>
            </w:r>
            <w:r w:rsidR="00ED57B1">
              <w:rPr>
                <w:noProof/>
                <w:webHidden/>
              </w:rPr>
              <w:fldChar w:fldCharType="separate"/>
            </w:r>
            <w:r w:rsidR="00ED57B1">
              <w:rPr>
                <w:noProof/>
                <w:webHidden/>
              </w:rPr>
              <w:t>31</w:t>
            </w:r>
            <w:r w:rsidR="00ED57B1">
              <w:rPr>
                <w:noProof/>
                <w:webHidden/>
              </w:rPr>
              <w:fldChar w:fldCharType="end"/>
            </w:r>
          </w:hyperlink>
        </w:p>
        <w:p w14:paraId="17E6F878" w14:textId="140C7607" w:rsidR="00ED57B1" w:rsidRDefault="007E54F3">
          <w:pPr>
            <w:pStyle w:val="TDC2"/>
            <w:tabs>
              <w:tab w:val="right" w:leader="dot" w:pos="9394"/>
            </w:tabs>
            <w:rPr>
              <w:rFonts w:asciiTheme="minorHAnsi" w:eastAsiaTheme="minorEastAsia" w:hAnsiTheme="minorHAnsi" w:cstheme="minorBidi"/>
              <w:noProof/>
              <w:lang w:val="es-419"/>
            </w:rPr>
          </w:pPr>
          <w:hyperlink w:anchor="_Toc57238610" w:history="1">
            <w:r w:rsidR="00ED57B1" w:rsidRPr="00EF07B2">
              <w:rPr>
                <w:rStyle w:val="Hipervnculo"/>
                <w:noProof/>
              </w:rPr>
              <w:t>2.1 Suelo.</w:t>
            </w:r>
            <w:r w:rsidR="00ED57B1">
              <w:rPr>
                <w:noProof/>
                <w:webHidden/>
              </w:rPr>
              <w:tab/>
            </w:r>
            <w:r w:rsidR="00ED57B1">
              <w:rPr>
                <w:noProof/>
                <w:webHidden/>
              </w:rPr>
              <w:fldChar w:fldCharType="begin"/>
            </w:r>
            <w:r w:rsidR="00ED57B1">
              <w:rPr>
                <w:noProof/>
                <w:webHidden/>
              </w:rPr>
              <w:instrText xml:space="preserve"> PAGEREF _Toc57238610 \h </w:instrText>
            </w:r>
            <w:r w:rsidR="00ED57B1">
              <w:rPr>
                <w:noProof/>
                <w:webHidden/>
              </w:rPr>
            </w:r>
            <w:r w:rsidR="00ED57B1">
              <w:rPr>
                <w:noProof/>
                <w:webHidden/>
              </w:rPr>
              <w:fldChar w:fldCharType="separate"/>
            </w:r>
            <w:r w:rsidR="00ED57B1">
              <w:rPr>
                <w:noProof/>
                <w:webHidden/>
              </w:rPr>
              <w:t>31</w:t>
            </w:r>
            <w:r w:rsidR="00ED57B1">
              <w:rPr>
                <w:noProof/>
                <w:webHidden/>
              </w:rPr>
              <w:fldChar w:fldCharType="end"/>
            </w:r>
          </w:hyperlink>
        </w:p>
        <w:p w14:paraId="12D6DB01" w14:textId="26C8F810" w:rsidR="00ED57B1" w:rsidRDefault="007E54F3">
          <w:pPr>
            <w:pStyle w:val="TDC3"/>
            <w:tabs>
              <w:tab w:val="right" w:leader="dot" w:pos="9394"/>
            </w:tabs>
            <w:rPr>
              <w:rFonts w:asciiTheme="minorHAnsi" w:eastAsiaTheme="minorEastAsia" w:hAnsiTheme="minorHAnsi" w:cstheme="minorBidi"/>
              <w:noProof/>
              <w:lang w:val="es-419"/>
            </w:rPr>
          </w:pPr>
          <w:hyperlink w:anchor="_Toc57238611" w:history="1">
            <w:r w:rsidR="00ED57B1" w:rsidRPr="00EF07B2">
              <w:rPr>
                <w:rStyle w:val="Hipervnculo"/>
                <w:noProof/>
              </w:rPr>
              <w:t>2.1.1 Usos del suelo.</w:t>
            </w:r>
            <w:r w:rsidR="00ED57B1">
              <w:rPr>
                <w:noProof/>
                <w:webHidden/>
              </w:rPr>
              <w:tab/>
            </w:r>
            <w:r w:rsidR="00ED57B1">
              <w:rPr>
                <w:noProof/>
                <w:webHidden/>
              </w:rPr>
              <w:fldChar w:fldCharType="begin"/>
            </w:r>
            <w:r w:rsidR="00ED57B1">
              <w:rPr>
                <w:noProof/>
                <w:webHidden/>
              </w:rPr>
              <w:instrText xml:space="preserve"> PAGEREF _Toc57238611 \h </w:instrText>
            </w:r>
            <w:r w:rsidR="00ED57B1">
              <w:rPr>
                <w:noProof/>
                <w:webHidden/>
              </w:rPr>
            </w:r>
            <w:r w:rsidR="00ED57B1">
              <w:rPr>
                <w:noProof/>
                <w:webHidden/>
              </w:rPr>
              <w:fldChar w:fldCharType="separate"/>
            </w:r>
            <w:r w:rsidR="00ED57B1">
              <w:rPr>
                <w:noProof/>
                <w:webHidden/>
              </w:rPr>
              <w:t>31</w:t>
            </w:r>
            <w:r w:rsidR="00ED57B1">
              <w:rPr>
                <w:noProof/>
                <w:webHidden/>
              </w:rPr>
              <w:fldChar w:fldCharType="end"/>
            </w:r>
          </w:hyperlink>
        </w:p>
        <w:p w14:paraId="579C6CCF" w14:textId="45CC2AB7" w:rsidR="00ED57B1" w:rsidRDefault="007E54F3">
          <w:pPr>
            <w:pStyle w:val="TDC3"/>
            <w:tabs>
              <w:tab w:val="right" w:leader="dot" w:pos="9394"/>
            </w:tabs>
            <w:rPr>
              <w:rFonts w:asciiTheme="minorHAnsi" w:eastAsiaTheme="minorEastAsia" w:hAnsiTheme="minorHAnsi" w:cstheme="minorBidi"/>
              <w:noProof/>
              <w:lang w:val="es-419"/>
            </w:rPr>
          </w:pPr>
          <w:hyperlink w:anchor="_Toc57238612" w:history="1">
            <w:r w:rsidR="00ED57B1" w:rsidRPr="00EF07B2">
              <w:rPr>
                <w:rStyle w:val="Hipervnculo"/>
                <w:noProof/>
              </w:rPr>
              <w:t>2.1.2 Suelo urbano.</w:t>
            </w:r>
            <w:r w:rsidR="00ED57B1">
              <w:rPr>
                <w:noProof/>
                <w:webHidden/>
              </w:rPr>
              <w:tab/>
            </w:r>
            <w:r w:rsidR="00ED57B1">
              <w:rPr>
                <w:noProof/>
                <w:webHidden/>
              </w:rPr>
              <w:fldChar w:fldCharType="begin"/>
            </w:r>
            <w:r w:rsidR="00ED57B1">
              <w:rPr>
                <w:noProof/>
                <w:webHidden/>
              </w:rPr>
              <w:instrText xml:space="preserve"> PAGEREF _Toc57238612 \h </w:instrText>
            </w:r>
            <w:r w:rsidR="00ED57B1">
              <w:rPr>
                <w:noProof/>
                <w:webHidden/>
              </w:rPr>
            </w:r>
            <w:r w:rsidR="00ED57B1">
              <w:rPr>
                <w:noProof/>
                <w:webHidden/>
              </w:rPr>
              <w:fldChar w:fldCharType="separate"/>
            </w:r>
            <w:r w:rsidR="00ED57B1">
              <w:rPr>
                <w:noProof/>
                <w:webHidden/>
              </w:rPr>
              <w:t>31</w:t>
            </w:r>
            <w:r w:rsidR="00ED57B1">
              <w:rPr>
                <w:noProof/>
                <w:webHidden/>
              </w:rPr>
              <w:fldChar w:fldCharType="end"/>
            </w:r>
          </w:hyperlink>
        </w:p>
        <w:p w14:paraId="27072AED" w14:textId="1255BC0B" w:rsidR="00ED57B1" w:rsidRDefault="007E54F3">
          <w:pPr>
            <w:pStyle w:val="TDC3"/>
            <w:tabs>
              <w:tab w:val="right" w:leader="dot" w:pos="9394"/>
            </w:tabs>
            <w:rPr>
              <w:rFonts w:asciiTheme="minorHAnsi" w:eastAsiaTheme="minorEastAsia" w:hAnsiTheme="minorHAnsi" w:cstheme="minorBidi"/>
              <w:noProof/>
              <w:lang w:val="es-419"/>
            </w:rPr>
          </w:pPr>
          <w:hyperlink w:anchor="_Toc57238613" w:history="1">
            <w:r w:rsidR="00ED57B1" w:rsidRPr="00EF07B2">
              <w:rPr>
                <w:rStyle w:val="Hipervnculo"/>
                <w:noProof/>
              </w:rPr>
              <w:t>2.1.3 Unidades de Planeamiento Zonal (UPZ)</w:t>
            </w:r>
            <w:r w:rsidR="00ED57B1">
              <w:rPr>
                <w:noProof/>
                <w:webHidden/>
              </w:rPr>
              <w:tab/>
            </w:r>
            <w:r w:rsidR="00ED57B1">
              <w:rPr>
                <w:noProof/>
                <w:webHidden/>
              </w:rPr>
              <w:fldChar w:fldCharType="begin"/>
            </w:r>
            <w:r w:rsidR="00ED57B1">
              <w:rPr>
                <w:noProof/>
                <w:webHidden/>
              </w:rPr>
              <w:instrText xml:space="preserve"> PAGEREF _Toc57238613 \h </w:instrText>
            </w:r>
            <w:r w:rsidR="00ED57B1">
              <w:rPr>
                <w:noProof/>
                <w:webHidden/>
              </w:rPr>
            </w:r>
            <w:r w:rsidR="00ED57B1">
              <w:rPr>
                <w:noProof/>
                <w:webHidden/>
              </w:rPr>
              <w:fldChar w:fldCharType="separate"/>
            </w:r>
            <w:r w:rsidR="00ED57B1">
              <w:rPr>
                <w:noProof/>
                <w:webHidden/>
              </w:rPr>
              <w:t>32</w:t>
            </w:r>
            <w:r w:rsidR="00ED57B1">
              <w:rPr>
                <w:noProof/>
                <w:webHidden/>
              </w:rPr>
              <w:fldChar w:fldCharType="end"/>
            </w:r>
          </w:hyperlink>
        </w:p>
        <w:p w14:paraId="590684E3" w14:textId="585625D7" w:rsidR="00ED57B1" w:rsidRDefault="007E54F3">
          <w:pPr>
            <w:pStyle w:val="TDC2"/>
            <w:tabs>
              <w:tab w:val="right" w:leader="dot" w:pos="9394"/>
            </w:tabs>
            <w:rPr>
              <w:rFonts w:asciiTheme="minorHAnsi" w:eastAsiaTheme="minorEastAsia" w:hAnsiTheme="minorHAnsi" w:cstheme="minorBidi"/>
              <w:noProof/>
              <w:lang w:val="es-419"/>
            </w:rPr>
          </w:pPr>
          <w:hyperlink w:anchor="_Toc57238614" w:history="1">
            <w:r w:rsidR="00ED57B1" w:rsidRPr="00EF07B2">
              <w:rPr>
                <w:rStyle w:val="Hipervnculo"/>
                <w:noProof/>
              </w:rPr>
              <w:t>2.1.4 Infraestructura urbana</w:t>
            </w:r>
            <w:r w:rsidR="00ED57B1">
              <w:rPr>
                <w:noProof/>
                <w:webHidden/>
              </w:rPr>
              <w:tab/>
            </w:r>
            <w:r w:rsidR="00ED57B1">
              <w:rPr>
                <w:noProof/>
                <w:webHidden/>
              </w:rPr>
              <w:fldChar w:fldCharType="begin"/>
            </w:r>
            <w:r w:rsidR="00ED57B1">
              <w:rPr>
                <w:noProof/>
                <w:webHidden/>
              </w:rPr>
              <w:instrText xml:space="preserve"> PAGEREF _Toc57238614 \h </w:instrText>
            </w:r>
            <w:r w:rsidR="00ED57B1">
              <w:rPr>
                <w:noProof/>
                <w:webHidden/>
              </w:rPr>
            </w:r>
            <w:r w:rsidR="00ED57B1">
              <w:rPr>
                <w:noProof/>
                <w:webHidden/>
              </w:rPr>
              <w:fldChar w:fldCharType="separate"/>
            </w:r>
            <w:r w:rsidR="00ED57B1">
              <w:rPr>
                <w:noProof/>
                <w:webHidden/>
              </w:rPr>
              <w:t>33</w:t>
            </w:r>
            <w:r w:rsidR="00ED57B1">
              <w:rPr>
                <w:noProof/>
                <w:webHidden/>
              </w:rPr>
              <w:fldChar w:fldCharType="end"/>
            </w:r>
          </w:hyperlink>
        </w:p>
        <w:p w14:paraId="6A24DA8B" w14:textId="65CA0EDA" w:rsidR="00ED57B1" w:rsidRDefault="007E54F3">
          <w:pPr>
            <w:pStyle w:val="TDC3"/>
            <w:tabs>
              <w:tab w:val="right" w:leader="dot" w:pos="9394"/>
            </w:tabs>
            <w:rPr>
              <w:rFonts w:asciiTheme="minorHAnsi" w:eastAsiaTheme="minorEastAsia" w:hAnsiTheme="minorHAnsi" w:cstheme="minorBidi"/>
              <w:noProof/>
              <w:lang w:val="es-419"/>
            </w:rPr>
          </w:pPr>
          <w:hyperlink w:anchor="_Toc57238615" w:history="1">
            <w:r w:rsidR="00ED57B1" w:rsidRPr="00EF07B2">
              <w:rPr>
                <w:rStyle w:val="Hipervnculo"/>
                <w:noProof/>
              </w:rPr>
              <w:t>2.1.5 Espacio público.</w:t>
            </w:r>
            <w:r w:rsidR="00ED57B1">
              <w:rPr>
                <w:noProof/>
                <w:webHidden/>
              </w:rPr>
              <w:tab/>
            </w:r>
            <w:r w:rsidR="00ED57B1">
              <w:rPr>
                <w:noProof/>
                <w:webHidden/>
              </w:rPr>
              <w:fldChar w:fldCharType="begin"/>
            </w:r>
            <w:r w:rsidR="00ED57B1">
              <w:rPr>
                <w:noProof/>
                <w:webHidden/>
              </w:rPr>
              <w:instrText xml:space="preserve"> PAGEREF _Toc57238615 \h </w:instrText>
            </w:r>
            <w:r w:rsidR="00ED57B1">
              <w:rPr>
                <w:noProof/>
                <w:webHidden/>
              </w:rPr>
            </w:r>
            <w:r w:rsidR="00ED57B1">
              <w:rPr>
                <w:noProof/>
                <w:webHidden/>
              </w:rPr>
              <w:fldChar w:fldCharType="separate"/>
            </w:r>
            <w:r w:rsidR="00ED57B1">
              <w:rPr>
                <w:noProof/>
                <w:webHidden/>
              </w:rPr>
              <w:t>35</w:t>
            </w:r>
            <w:r w:rsidR="00ED57B1">
              <w:rPr>
                <w:noProof/>
                <w:webHidden/>
              </w:rPr>
              <w:fldChar w:fldCharType="end"/>
            </w:r>
          </w:hyperlink>
        </w:p>
        <w:p w14:paraId="22E0FDC9" w14:textId="6A36E37B" w:rsidR="00ED57B1" w:rsidRDefault="007E54F3">
          <w:pPr>
            <w:pStyle w:val="TDC3"/>
            <w:tabs>
              <w:tab w:val="right" w:leader="dot" w:pos="9394"/>
            </w:tabs>
            <w:rPr>
              <w:rFonts w:asciiTheme="minorHAnsi" w:eastAsiaTheme="minorEastAsia" w:hAnsiTheme="minorHAnsi" w:cstheme="minorBidi"/>
              <w:noProof/>
              <w:lang w:val="es-419"/>
            </w:rPr>
          </w:pPr>
          <w:hyperlink w:anchor="_Toc57238616" w:history="1">
            <w:r w:rsidR="00ED57B1" w:rsidRPr="00EF07B2">
              <w:rPr>
                <w:rStyle w:val="Hipervnculo"/>
                <w:noProof/>
              </w:rPr>
              <w:t>2.1.6 Parques y zonas verdes.</w:t>
            </w:r>
            <w:r w:rsidR="00ED57B1">
              <w:rPr>
                <w:noProof/>
                <w:webHidden/>
              </w:rPr>
              <w:tab/>
            </w:r>
            <w:r w:rsidR="00ED57B1">
              <w:rPr>
                <w:noProof/>
                <w:webHidden/>
              </w:rPr>
              <w:fldChar w:fldCharType="begin"/>
            </w:r>
            <w:r w:rsidR="00ED57B1">
              <w:rPr>
                <w:noProof/>
                <w:webHidden/>
              </w:rPr>
              <w:instrText xml:space="preserve"> PAGEREF _Toc57238616 \h </w:instrText>
            </w:r>
            <w:r w:rsidR="00ED57B1">
              <w:rPr>
                <w:noProof/>
                <w:webHidden/>
              </w:rPr>
            </w:r>
            <w:r w:rsidR="00ED57B1">
              <w:rPr>
                <w:noProof/>
                <w:webHidden/>
              </w:rPr>
              <w:fldChar w:fldCharType="separate"/>
            </w:r>
            <w:r w:rsidR="00ED57B1">
              <w:rPr>
                <w:noProof/>
                <w:webHidden/>
              </w:rPr>
              <w:t>36</w:t>
            </w:r>
            <w:r w:rsidR="00ED57B1">
              <w:rPr>
                <w:noProof/>
                <w:webHidden/>
              </w:rPr>
              <w:fldChar w:fldCharType="end"/>
            </w:r>
          </w:hyperlink>
        </w:p>
        <w:p w14:paraId="2C74C217" w14:textId="537BF48C" w:rsidR="00ED57B1" w:rsidRDefault="007E54F3">
          <w:pPr>
            <w:pStyle w:val="TDC3"/>
            <w:tabs>
              <w:tab w:val="right" w:leader="dot" w:pos="9394"/>
            </w:tabs>
            <w:rPr>
              <w:rFonts w:asciiTheme="minorHAnsi" w:eastAsiaTheme="minorEastAsia" w:hAnsiTheme="minorHAnsi" w:cstheme="minorBidi"/>
              <w:noProof/>
              <w:lang w:val="es-419"/>
            </w:rPr>
          </w:pPr>
          <w:hyperlink w:anchor="_Toc57238617" w:history="1">
            <w:r w:rsidR="00ED57B1" w:rsidRPr="00EF07B2">
              <w:rPr>
                <w:rStyle w:val="Hipervnculo"/>
                <w:noProof/>
              </w:rPr>
              <w:t>2.1.7 Arbolado urbano.</w:t>
            </w:r>
            <w:r w:rsidR="00ED57B1">
              <w:rPr>
                <w:noProof/>
                <w:webHidden/>
              </w:rPr>
              <w:tab/>
            </w:r>
            <w:r w:rsidR="00ED57B1">
              <w:rPr>
                <w:noProof/>
                <w:webHidden/>
              </w:rPr>
              <w:fldChar w:fldCharType="begin"/>
            </w:r>
            <w:r w:rsidR="00ED57B1">
              <w:rPr>
                <w:noProof/>
                <w:webHidden/>
              </w:rPr>
              <w:instrText xml:space="preserve"> PAGEREF _Toc57238617 \h </w:instrText>
            </w:r>
            <w:r w:rsidR="00ED57B1">
              <w:rPr>
                <w:noProof/>
                <w:webHidden/>
              </w:rPr>
            </w:r>
            <w:r w:rsidR="00ED57B1">
              <w:rPr>
                <w:noProof/>
                <w:webHidden/>
              </w:rPr>
              <w:fldChar w:fldCharType="separate"/>
            </w:r>
            <w:r w:rsidR="00ED57B1">
              <w:rPr>
                <w:noProof/>
                <w:webHidden/>
              </w:rPr>
              <w:t>37</w:t>
            </w:r>
            <w:r w:rsidR="00ED57B1">
              <w:rPr>
                <w:noProof/>
                <w:webHidden/>
              </w:rPr>
              <w:fldChar w:fldCharType="end"/>
            </w:r>
          </w:hyperlink>
        </w:p>
        <w:p w14:paraId="1646BD6E" w14:textId="71DC2AB0" w:rsidR="00ED57B1" w:rsidRDefault="007E54F3">
          <w:pPr>
            <w:pStyle w:val="TDC3"/>
            <w:tabs>
              <w:tab w:val="right" w:leader="dot" w:pos="9394"/>
            </w:tabs>
            <w:rPr>
              <w:rFonts w:asciiTheme="minorHAnsi" w:eastAsiaTheme="minorEastAsia" w:hAnsiTheme="minorHAnsi" w:cstheme="minorBidi"/>
              <w:noProof/>
              <w:lang w:val="es-419"/>
            </w:rPr>
          </w:pPr>
          <w:hyperlink w:anchor="_Toc57238618" w:history="1">
            <w:r w:rsidR="00ED57B1" w:rsidRPr="00EF07B2">
              <w:rPr>
                <w:rStyle w:val="Hipervnculo"/>
                <w:rFonts w:eastAsia="Arial" w:cs="Arial"/>
                <w:bCs/>
                <w:noProof/>
              </w:rPr>
              <w:t>2.1.8 Manejo de residuos sólidos</w:t>
            </w:r>
            <w:r w:rsidR="00ED57B1">
              <w:rPr>
                <w:noProof/>
                <w:webHidden/>
              </w:rPr>
              <w:tab/>
            </w:r>
            <w:r w:rsidR="00ED57B1">
              <w:rPr>
                <w:noProof/>
                <w:webHidden/>
              </w:rPr>
              <w:fldChar w:fldCharType="begin"/>
            </w:r>
            <w:r w:rsidR="00ED57B1">
              <w:rPr>
                <w:noProof/>
                <w:webHidden/>
              </w:rPr>
              <w:instrText xml:space="preserve"> PAGEREF _Toc57238618 \h </w:instrText>
            </w:r>
            <w:r w:rsidR="00ED57B1">
              <w:rPr>
                <w:noProof/>
                <w:webHidden/>
              </w:rPr>
            </w:r>
            <w:r w:rsidR="00ED57B1">
              <w:rPr>
                <w:noProof/>
                <w:webHidden/>
              </w:rPr>
              <w:fldChar w:fldCharType="separate"/>
            </w:r>
            <w:r w:rsidR="00ED57B1">
              <w:rPr>
                <w:noProof/>
                <w:webHidden/>
              </w:rPr>
              <w:t>38</w:t>
            </w:r>
            <w:r w:rsidR="00ED57B1">
              <w:rPr>
                <w:noProof/>
                <w:webHidden/>
              </w:rPr>
              <w:fldChar w:fldCharType="end"/>
            </w:r>
          </w:hyperlink>
        </w:p>
        <w:p w14:paraId="32DDECF8" w14:textId="59BA5F92" w:rsidR="00ED57B1" w:rsidRDefault="007E54F3">
          <w:pPr>
            <w:pStyle w:val="TDC2"/>
            <w:tabs>
              <w:tab w:val="right" w:leader="dot" w:pos="9394"/>
            </w:tabs>
            <w:rPr>
              <w:rFonts w:asciiTheme="minorHAnsi" w:eastAsiaTheme="minorEastAsia" w:hAnsiTheme="minorHAnsi" w:cstheme="minorBidi"/>
              <w:noProof/>
              <w:lang w:val="es-419"/>
            </w:rPr>
          </w:pPr>
          <w:hyperlink w:anchor="_Toc57238619" w:history="1">
            <w:r w:rsidR="00ED57B1" w:rsidRPr="00EF07B2">
              <w:rPr>
                <w:rStyle w:val="Hipervnculo"/>
                <w:noProof/>
              </w:rPr>
              <w:t>2.2 Aire</w:t>
            </w:r>
            <w:r w:rsidR="00ED57B1">
              <w:rPr>
                <w:noProof/>
                <w:webHidden/>
              </w:rPr>
              <w:tab/>
            </w:r>
            <w:r w:rsidR="00ED57B1">
              <w:rPr>
                <w:noProof/>
                <w:webHidden/>
              </w:rPr>
              <w:fldChar w:fldCharType="begin"/>
            </w:r>
            <w:r w:rsidR="00ED57B1">
              <w:rPr>
                <w:noProof/>
                <w:webHidden/>
              </w:rPr>
              <w:instrText xml:space="preserve"> PAGEREF _Toc57238619 \h </w:instrText>
            </w:r>
            <w:r w:rsidR="00ED57B1">
              <w:rPr>
                <w:noProof/>
                <w:webHidden/>
              </w:rPr>
            </w:r>
            <w:r w:rsidR="00ED57B1">
              <w:rPr>
                <w:noProof/>
                <w:webHidden/>
              </w:rPr>
              <w:fldChar w:fldCharType="separate"/>
            </w:r>
            <w:r w:rsidR="00ED57B1">
              <w:rPr>
                <w:noProof/>
                <w:webHidden/>
              </w:rPr>
              <w:t>49</w:t>
            </w:r>
            <w:r w:rsidR="00ED57B1">
              <w:rPr>
                <w:noProof/>
                <w:webHidden/>
              </w:rPr>
              <w:fldChar w:fldCharType="end"/>
            </w:r>
          </w:hyperlink>
        </w:p>
        <w:p w14:paraId="06D8AEEE" w14:textId="2DE30416" w:rsidR="00ED57B1" w:rsidRDefault="007E54F3">
          <w:pPr>
            <w:pStyle w:val="TDC3"/>
            <w:tabs>
              <w:tab w:val="right" w:leader="dot" w:pos="9394"/>
            </w:tabs>
            <w:rPr>
              <w:rFonts w:asciiTheme="minorHAnsi" w:eastAsiaTheme="minorEastAsia" w:hAnsiTheme="minorHAnsi" w:cstheme="minorBidi"/>
              <w:noProof/>
              <w:lang w:val="es-419"/>
            </w:rPr>
          </w:pPr>
          <w:hyperlink w:anchor="_Toc57238620" w:history="1">
            <w:r w:rsidR="00ED57B1" w:rsidRPr="00EF07B2">
              <w:rPr>
                <w:rStyle w:val="Hipervnculo"/>
                <w:noProof/>
              </w:rPr>
              <w:t>2.2.1 Calidad del aire.</w:t>
            </w:r>
            <w:r w:rsidR="00ED57B1">
              <w:rPr>
                <w:noProof/>
                <w:webHidden/>
              </w:rPr>
              <w:tab/>
            </w:r>
            <w:r w:rsidR="00ED57B1">
              <w:rPr>
                <w:noProof/>
                <w:webHidden/>
              </w:rPr>
              <w:fldChar w:fldCharType="begin"/>
            </w:r>
            <w:r w:rsidR="00ED57B1">
              <w:rPr>
                <w:noProof/>
                <w:webHidden/>
              </w:rPr>
              <w:instrText xml:space="preserve"> PAGEREF _Toc57238620 \h </w:instrText>
            </w:r>
            <w:r w:rsidR="00ED57B1">
              <w:rPr>
                <w:noProof/>
                <w:webHidden/>
              </w:rPr>
            </w:r>
            <w:r w:rsidR="00ED57B1">
              <w:rPr>
                <w:noProof/>
                <w:webHidden/>
              </w:rPr>
              <w:fldChar w:fldCharType="separate"/>
            </w:r>
            <w:r w:rsidR="00ED57B1">
              <w:rPr>
                <w:noProof/>
                <w:webHidden/>
              </w:rPr>
              <w:t>49</w:t>
            </w:r>
            <w:r w:rsidR="00ED57B1">
              <w:rPr>
                <w:noProof/>
                <w:webHidden/>
              </w:rPr>
              <w:fldChar w:fldCharType="end"/>
            </w:r>
          </w:hyperlink>
        </w:p>
        <w:p w14:paraId="41BB82DA" w14:textId="5EE4371C" w:rsidR="00ED57B1" w:rsidRDefault="007E54F3">
          <w:pPr>
            <w:pStyle w:val="TDC3"/>
            <w:tabs>
              <w:tab w:val="right" w:leader="dot" w:pos="9394"/>
            </w:tabs>
            <w:rPr>
              <w:rFonts w:asciiTheme="minorHAnsi" w:eastAsiaTheme="minorEastAsia" w:hAnsiTheme="minorHAnsi" w:cstheme="minorBidi"/>
              <w:noProof/>
              <w:lang w:val="es-419"/>
            </w:rPr>
          </w:pPr>
          <w:hyperlink w:anchor="_Toc57238621" w:history="1">
            <w:r w:rsidR="00ED57B1" w:rsidRPr="00EF07B2">
              <w:rPr>
                <w:rStyle w:val="Hipervnculo"/>
                <w:noProof/>
              </w:rPr>
              <w:t>2.2.2 Eventos de contaminación atmosférica en Bogotá:</w:t>
            </w:r>
            <w:r w:rsidR="00ED57B1">
              <w:rPr>
                <w:noProof/>
                <w:webHidden/>
              </w:rPr>
              <w:tab/>
            </w:r>
            <w:r w:rsidR="00ED57B1">
              <w:rPr>
                <w:noProof/>
                <w:webHidden/>
              </w:rPr>
              <w:fldChar w:fldCharType="begin"/>
            </w:r>
            <w:r w:rsidR="00ED57B1">
              <w:rPr>
                <w:noProof/>
                <w:webHidden/>
              </w:rPr>
              <w:instrText xml:space="preserve"> PAGEREF _Toc57238621 \h </w:instrText>
            </w:r>
            <w:r w:rsidR="00ED57B1">
              <w:rPr>
                <w:noProof/>
                <w:webHidden/>
              </w:rPr>
            </w:r>
            <w:r w:rsidR="00ED57B1">
              <w:rPr>
                <w:noProof/>
                <w:webHidden/>
              </w:rPr>
              <w:fldChar w:fldCharType="separate"/>
            </w:r>
            <w:r w:rsidR="00ED57B1">
              <w:rPr>
                <w:noProof/>
                <w:webHidden/>
              </w:rPr>
              <w:t>54</w:t>
            </w:r>
            <w:r w:rsidR="00ED57B1">
              <w:rPr>
                <w:noProof/>
                <w:webHidden/>
              </w:rPr>
              <w:fldChar w:fldCharType="end"/>
            </w:r>
          </w:hyperlink>
        </w:p>
        <w:p w14:paraId="5197CD58" w14:textId="463503E0" w:rsidR="00ED57B1" w:rsidRDefault="007E54F3">
          <w:pPr>
            <w:pStyle w:val="TDC3"/>
            <w:tabs>
              <w:tab w:val="right" w:leader="dot" w:pos="9394"/>
            </w:tabs>
            <w:rPr>
              <w:rFonts w:asciiTheme="minorHAnsi" w:eastAsiaTheme="minorEastAsia" w:hAnsiTheme="minorHAnsi" w:cstheme="minorBidi"/>
              <w:noProof/>
              <w:lang w:val="es-419"/>
            </w:rPr>
          </w:pPr>
          <w:hyperlink w:anchor="_Toc57238622" w:history="1">
            <w:r w:rsidR="00ED57B1" w:rsidRPr="00EF07B2">
              <w:rPr>
                <w:rStyle w:val="Hipervnculo"/>
                <w:noProof/>
              </w:rPr>
              <w:t>2.2.3 Degradación espacial de emisiones.</w:t>
            </w:r>
            <w:r w:rsidR="00ED57B1">
              <w:rPr>
                <w:noProof/>
                <w:webHidden/>
              </w:rPr>
              <w:tab/>
            </w:r>
            <w:r w:rsidR="00ED57B1">
              <w:rPr>
                <w:noProof/>
                <w:webHidden/>
              </w:rPr>
              <w:fldChar w:fldCharType="begin"/>
            </w:r>
            <w:r w:rsidR="00ED57B1">
              <w:rPr>
                <w:noProof/>
                <w:webHidden/>
              </w:rPr>
              <w:instrText xml:space="preserve"> PAGEREF _Toc57238622 \h </w:instrText>
            </w:r>
            <w:r w:rsidR="00ED57B1">
              <w:rPr>
                <w:noProof/>
                <w:webHidden/>
              </w:rPr>
            </w:r>
            <w:r w:rsidR="00ED57B1">
              <w:rPr>
                <w:noProof/>
                <w:webHidden/>
              </w:rPr>
              <w:fldChar w:fldCharType="separate"/>
            </w:r>
            <w:r w:rsidR="00ED57B1">
              <w:rPr>
                <w:noProof/>
                <w:webHidden/>
              </w:rPr>
              <w:t>55</w:t>
            </w:r>
            <w:r w:rsidR="00ED57B1">
              <w:rPr>
                <w:noProof/>
                <w:webHidden/>
              </w:rPr>
              <w:fldChar w:fldCharType="end"/>
            </w:r>
          </w:hyperlink>
        </w:p>
        <w:p w14:paraId="47AD953D" w14:textId="2D0779F4" w:rsidR="00ED57B1" w:rsidRDefault="007E54F3">
          <w:pPr>
            <w:pStyle w:val="TDC3"/>
            <w:tabs>
              <w:tab w:val="right" w:leader="dot" w:pos="9394"/>
            </w:tabs>
            <w:rPr>
              <w:rFonts w:asciiTheme="minorHAnsi" w:eastAsiaTheme="minorEastAsia" w:hAnsiTheme="minorHAnsi" w:cstheme="minorBidi"/>
              <w:noProof/>
              <w:lang w:val="es-419"/>
            </w:rPr>
          </w:pPr>
          <w:hyperlink w:anchor="_Toc57238623" w:history="1">
            <w:r w:rsidR="00ED57B1" w:rsidRPr="00EF07B2">
              <w:rPr>
                <w:rStyle w:val="Hipervnculo"/>
                <w:noProof/>
              </w:rPr>
              <w:t>2.2.4 Contaminación visual.</w:t>
            </w:r>
            <w:r w:rsidR="00ED57B1">
              <w:rPr>
                <w:noProof/>
                <w:webHidden/>
              </w:rPr>
              <w:tab/>
            </w:r>
            <w:r w:rsidR="00ED57B1">
              <w:rPr>
                <w:noProof/>
                <w:webHidden/>
              </w:rPr>
              <w:fldChar w:fldCharType="begin"/>
            </w:r>
            <w:r w:rsidR="00ED57B1">
              <w:rPr>
                <w:noProof/>
                <w:webHidden/>
              </w:rPr>
              <w:instrText xml:space="preserve"> PAGEREF _Toc57238623 \h </w:instrText>
            </w:r>
            <w:r w:rsidR="00ED57B1">
              <w:rPr>
                <w:noProof/>
                <w:webHidden/>
              </w:rPr>
            </w:r>
            <w:r w:rsidR="00ED57B1">
              <w:rPr>
                <w:noProof/>
                <w:webHidden/>
              </w:rPr>
              <w:fldChar w:fldCharType="separate"/>
            </w:r>
            <w:r w:rsidR="00ED57B1">
              <w:rPr>
                <w:noProof/>
                <w:webHidden/>
              </w:rPr>
              <w:t>58</w:t>
            </w:r>
            <w:r w:rsidR="00ED57B1">
              <w:rPr>
                <w:noProof/>
                <w:webHidden/>
              </w:rPr>
              <w:fldChar w:fldCharType="end"/>
            </w:r>
          </w:hyperlink>
        </w:p>
        <w:p w14:paraId="6943310E" w14:textId="1B1B0CEA" w:rsidR="00ED57B1" w:rsidRDefault="007E54F3">
          <w:pPr>
            <w:pStyle w:val="TDC3"/>
            <w:tabs>
              <w:tab w:val="right" w:leader="dot" w:pos="9394"/>
            </w:tabs>
            <w:rPr>
              <w:rFonts w:asciiTheme="minorHAnsi" w:eastAsiaTheme="minorEastAsia" w:hAnsiTheme="minorHAnsi" w:cstheme="minorBidi"/>
              <w:noProof/>
              <w:lang w:val="es-419"/>
            </w:rPr>
          </w:pPr>
          <w:hyperlink w:anchor="_Toc57238624" w:history="1">
            <w:r w:rsidR="00ED57B1" w:rsidRPr="00EF07B2">
              <w:rPr>
                <w:rStyle w:val="Hipervnculo"/>
                <w:rFonts w:eastAsia="Arial" w:cs="Arial"/>
                <w:noProof/>
              </w:rPr>
              <w:t>Elementos de Publicidad Exterior Visual Desmontada Anualmente - PEVA (Número) (Observatorio Ambiental de Bogotá)</w:t>
            </w:r>
            <w:r w:rsidR="00ED57B1">
              <w:rPr>
                <w:noProof/>
                <w:webHidden/>
              </w:rPr>
              <w:tab/>
            </w:r>
            <w:r w:rsidR="00ED57B1">
              <w:rPr>
                <w:noProof/>
                <w:webHidden/>
              </w:rPr>
              <w:fldChar w:fldCharType="begin"/>
            </w:r>
            <w:r w:rsidR="00ED57B1">
              <w:rPr>
                <w:noProof/>
                <w:webHidden/>
              </w:rPr>
              <w:instrText xml:space="preserve"> PAGEREF _Toc57238624 \h </w:instrText>
            </w:r>
            <w:r w:rsidR="00ED57B1">
              <w:rPr>
                <w:noProof/>
                <w:webHidden/>
              </w:rPr>
            </w:r>
            <w:r w:rsidR="00ED57B1">
              <w:rPr>
                <w:noProof/>
                <w:webHidden/>
              </w:rPr>
              <w:fldChar w:fldCharType="separate"/>
            </w:r>
            <w:r w:rsidR="00ED57B1">
              <w:rPr>
                <w:noProof/>
                <w:webHidden/>
              </w:rPr>
              <w:t>58</w:t>
            </w:r>
            <w:r w:rsidR="00ED57B1">
              <w:rPr>
                <w:noProof/>
                <w:webHidden/>
              </w:rPr>
              <w:fldChar w:fldCharType="end"/>
            </w:r>
          </w:hyperlink>
        </w:p>
        <w:p w14:paraId="51BDD581" w14:textId="125EDD90" w:rsidR="00ED57B1" w:rsidRDefault="007E54F3">
          <w:pPr>
            <w:pStyle w:val="TDC2"/>
            <w:tabs>
              <w:tab w:val="right" w:leader="dot" w:pos="9394"/>
            </w:tabs>
            <w:rPr>
              <w:rFonts w:asciiTheme="minorHAnsi" w:eastAsiaTheme="minorEastAsia" w:hAnsiTheme="minorHAnsi" w:cstheme="minorBidi"/>
              <w:noProof/>
              <w:lang w:val="es-419"/>
            </w:rPr>
          </w:pPr>
          <w:hyperlink w:anchor="_Toc57238625" w:history="1">
            <w:r w:rsidR="00ED57B1" w:rsidRPr="00EF07B2">
              <w:rPr>
                <w:rStyle w:val="Hipervnculo"/>
                <w:noProof/>
              </w:rPr>
              <w:t>2.3 Agua</w:t>
            </w:r>
            <w:r w:rsidR="00ED57B1">
              <w:rPr>
                <w:noProof/>
                <w:webHidden/>
              </w:rPr>
              <w:tab/>
            </w:r>
            <w:r w:rsidR="00ED57B1">
              <w:rPr>
                <w:noProof/>
                <w:webHidden/>
              </w:rPr>
              <w:fldChar w:fldCharType="begin"/>
            </w:r>
            <w:r w:rsidR="00ED57B1">
              <w:rPr>
                <w:noProof/>
                <w:webHidden/>
              </w:rPr>
              <w:instrText xml:space="preserve"> PAGEREF _Toc57238625 \h </w:instrText>
            </w:r>
            <w:r w:rsidR="00ED57B1">
              <w:rPr>
                <w:noProof/>
                <w:webHidden/>
              </w:rPr>
            </w:r>
            <w:r w:rsidR="00ED57B1">
              <w:rPr>
                <w:noProof/>
                <w:webHidden/>
              </w:rPr>
              <w:fldChar w:fldCharType="separate"/>
            </w:r>
            <w:r w:rsidR="00ED57B1">
              <w:rPr>
                <w:noProof/>
                <w:webHidden/>
              </w:rPr>
              <w:t>58</w:t>
            </w:r>
            <w:r w:rsidR="00ED57B1">
              <w:rPr>
                <w:noProof/>
                <w:webHidden/>
              </w:rPr>
              <w:fldChar w:fldCharType="end"/>
            </w:r>
          </w:hyperlink>
        </w:p>
        <w:p w14:paraId="7AB49385" w14:textId="7E5D50F3" w:rsidR="00ED57B1" w:rsidRDefault="007E54F3">
          <w:pPr>
            <w:pStyle w:val="TDC3"/>
            <w:tabs>
              <w:tab w:val="right" w:leader="dot" w:pos="9394"/>
            </w:tabs>
            <w:rPr>
              <w:rFonts w:asciiTheme="minorHAnsi" w:eastAsiaTheme="minorEastAsia" w:hAnsiTheme="minorHAnsi" w:cstheme="minorBidi"/>
              <w:noProof/>
              <w:lang w:val="es-419"/>
            </w:rPr>
          </w:pPr>
          <w:hyperlink w:anchor="_Toc57238626" w:history="1">
            <w:r w:rsidR="00ED57B1" w:rsidRPr="00EF07B2">
              <w:rPr>
                <w:rStyle w:val="Hipervnculo"/>
                <w:noProof/>
              </w:rPr>
              <w:t>2.3.1 Hidrografía</w:t>
            </w:r>
            <w:r w:rsidR="00ED57B1">
              <w:rPr>
                <w:noProof/>
                <w:webHidden/>
              </w:rPr>
              <w:tab/>
            </w:r>
            <w:r w:rsidR="00ED57B1">
              <w:rPr>
                <w:noProof/>
                <w:webHidden/>
              </w:rPr>
              <w:fldChar w:fldCharType="begin"/>
            </w:r>
            <w:r w:rsidR="00ED57B1">
              <w:rPr>
                <w:noProof/>
                <w:webHidden/>
              </w:rPr>
              <w:instrText xml:space="preserve"> PAGEREF _Toc57238626 \h </w:instrText>
            </w:r>
            <w:r w:rsidR="00ED57B1">
              <w:rPr>
                <w:noProof/>
                <w:webHidden/>
              </w:rPr>
            </w:r>
            <w:r w:rsidR="00ED57B1">
              <w:rPr>
                <w:noProof/>
                <w:webHidden/>
              </w:rPr>
              <w:fldChar w:fldCharType="separate"/>
            </w:r>
            <w:r w:rsidR="00ED57B1">
              <w:rPr>
                <w:noProof/>
                <w:webHidden/>
              </w:rPr>
              <w:t>58</w:t>
            </w:r>
            <w:r w:rsidR="00ED57B1">
              <w:rPr>
                <w:noProof/>
                <w:webHidden/>
              </w:rPr>
              <w:fldChar w:fldCharType="end"/>
            </w:r>
          </w:hyperlink>
        </w:p>
        <w:p w14:paraId="7C8C5777" w14:textId="0760F67E" w:rsidR="00ED57B1" w:rsidRDefault="007E54F3">
          <w:pPr>
            <w:pStyle w:val="TDC3"/>
            <w:tabs>
              <w:tab w:val="right" w:leader="dot" w:pos="9394"/>
            </w:tabs>
            <w:rPr>
              <w:rFonts w:asciiTheme="minorHAnsi" w:eastAsiaTheme="minorEastAsia" w:hAnsiTheme="minorHAnsi" w:cstheme="minorBidi"/>
              <w:noProof/>
              <w:lang w:val="es-419"/>
            </w:rPr>
          </w:pPr>
          <w:hyperlink w:anchor="_Toc57238627" w:history="1">
            <w:r w:rsidR="00ED57B1" w:rsidRPr="00EF07B2">
              <w:rPr>
                <w:rStyle w:val="Hipervnculo"/>
                <w:noProof/>
              </w:rPr>
              <w:t>2.3.2 Precipitaciones.</w:t>
            </w:r>
            <w:r w:rsidR="00ED57B1">
              <w:rPr>
                <w:noProof/>
                <w:webHidden/>
              </w:rPr>
              <w:tab/>
            </w:r>
            <w:r w:rsidR="00ED57B1">
              <w:rPr>
                <w:noProof/>
                <w:webHidden/>
              </w:rPr>
              <w:fldChar w:fldCharType="begin"/>
            </w:r>
            <w:r w:rsidR="00ED57B1">
              <w:rPr>
                <w:noProof/>
                <w:webHidden/>
              </w:rPr>
              <w:instrText xml:space="preserve"> PAGEREF _Toc57238627 \h </w:instrText>
            </w:r>
            <w:r w:rsidR="00ED57B1">
              <w:rPr>
                <w:noProof/>
                <w:webHidden/>
              </w:rPr>
            </w:r>
            <w:r w:rsidR="00ED57B1">
              <w:rPr>
                <w:noProof/>
                <w:webHidden/>
              </w:rPr>
              <w:fldChar w:fldCharType="separate"/>
            </w:r>
            <w:r w:rsidR="00ED57B1">
              <w:rPr>
                <w:noProof/>
                <w:webHidden/>
              </w:rPr>
              <w:t>62</w:t>
            </w:r>
            <w:r w:rsidR="00ED57B1">
              <w:rPr>
                <w:noProof/>
                <w:webHidden/>
              </w:rPr>
              <w:fldChar w:fldCharType="end"/>
            </w:r>
          </w:hyperlink>
        </w:p>
        <w:p w14:paraId="2F045DB4" w14:textId="65F3DF46" w:rsidR="00ED57B1" w:rsidRDefault="007E54F3">
          <w:pPr>
            <w:pStyle w:val="TDC3"/>
            <w:tabs>
              <w:tab w:val="right" w:leader="dot" w:pos="9394"/>
            </w:tabs>
            <w:rPr>
              <w:rFonts w:asciiTheme="minorHAnsi" w:eastAsiaTheme="minorEastAsia" w:hAnsiTheme="minorHAnsi" w:cstheme="minorBidi"/>
              <w:noProof/>
              <w:lang w:val="es-419"/>
            </w:rPr>
          </w:pPr>
          <w:hyperlink w:anchor="_Toc57238628" w:history="1">
            <w:r w:rsidR="00ED57B1" w:rsidRPr="00EF07B2">
              <w:rPr>
                <w:rStyle w:val="Hipervnculo"/>
                <w:noProof/>
              </w:rPr>
              <w:t>2.3.3 Calidad hídrica.</w:t>
            </w:r>
            <w:r w:rsidR="00ED57B1">
              <w:rPr>
                <w:noProof/>
                <w:webHidden/>
              </w:rPr>
              <w:tab/>
            </w:r>
            <w:r w:rsidR="00ED57B1">
              <w:rPr>
                <w:noProof/>
                <w:webHidden/>
              </w:rPr>
              <w:fldChar w:fldCharType="begin"/>
            </w:r>
            <w:r w:rsidR="00ED57B1">
              <w:rPr>
                <w:noProof/>
                <w:webHidden/>
              </w:rPr>
              <w:instrText xml:space="preserve"> PAGEREF _Toc57238628 \h </w:instrText>
            </w:r>
            <w:r w:rsidR="00ED57B1">
              <w:rPr>
                <w:noProof/>
                <w:webHidden/>
              </w:rPr>
            </w:r>
            <w:r w:rsidR="00ED57B1">
              <w:rPr>
                <w:noProof/>
                <w:webHidden/>
              </w:rPr>
              <w:fldChar w:fldCharType="separate"/>
            </w:r>
            <w:r w:rsidR="00ED57B1">
              <w:rPr>
                <w:noProof/>
                <w:webHidden/>
              </w:rPr>
              <w:t>63</w:t>
            </w:r>
            <w:r w:rsidR="00ED57B1">
              <w:rPr>
                <w:noProof/>
                <w:webHidden/>
              </w:rPr>
              <w:fldChar w:fldCharType="end"/>
            </w:r>
          </w:hyperlink>
        </w:p>
        <w:p w14:paraId="558B8467" w14:textId="1758902D" w:rsidR="00ED57B1" w:rsidRDefault="007E54F3">
          <w:pPr>
            <w:pStyle w:val="TDC3"/>
            <w:tabs>
              <w:tab w:val="right" w:leader="dot" w:pos="9394"/>
            </w:tabs>
            <w:rPr>
              <w:rFonts w:asciiTheme="minorHAnsi" w:eastAsiaTheme="minorEastAsia" w:hAnsiTheme="minorHAnsi" w:cstheme="minorBidi"/>
              <w:noProof/>
              <w:lang w:val="es-419"/>
            </w:rPr>
          </w:pPr>
          <w:hyperlink w:anchor="_Toc57238629" w:history="1">
            <w:r w:rsidR="00ED57B1" w:rsidRPr="00EF07B2">
              <w:rPr>
                <w:rStyle w:val="Hipervnculo"/>
                <w:noProof/>
              </w:rPr>
              <w:t>2.3.4 Contaminación hídrica.</w:t>
            </w:r>
            <w:r w:rsidR="00ED57B1">
              <w:rPr>
                <w:noProof/>
                <w:webHidden/>
              </w:rPr>
              <w:tab/>
            </w:r>
            <w:r w:rsidR="00ED57B1">
              <w:rPr>
                <w:noProof/>
                <w:webHidden/>
              </w:rPr>
              <w:fldChar w:fldCharType="begin"/>
            </w:r>
            <w:r w:rsidR="00ED57B1">
              <w:rPr>
                <w:noProof/>
                <w:webHidden/>
              </w:rPr>
              <w:instrText xml:space="preserve"> PAGEREF _Toc57238629 \h </w:instrText>
            </w:r>
            <w:r w:rsidR="00ED57B1">
              <w:rPr>
                <w:noProof/>
                <w:webHidden/>
              </w:rPr>
            </w:r>
            <w:r w:rsidR="00ED57B1">
              <w:rPr>
                <w:noProof/>
                <w:webHidden/>
              </w:rPr>
              <w:fldChar w:fldCharType="separate"/>
            </w:r>
            <w:r w:rsidR="00ED57B1">
              <w:rPr>
                <w:noProof/>
                <w:webHidden/>
              </w:rPr>
              <w:t>64</w:t>
            </w:r>
            <w:r w:rsidR="00ED57B1">
              <w:rPr>
                <w:noProof/>
                <w:webHidden/>
              </w:rPr>
              <w:fldChar w:fldCharType="end"/>
            </w:r>
          </w:hyperlink>
        </w:p>
        <w:p w14:paraId="64633E3B" w14:textId="16B9AFD2" w:rsidR="00ED57B1" w:rsidRDefault="007E54F3">
          <w:pPr>
            <w:pStyle w:val="TDC2"/>
            <w:tabs>
              <w:tab w:val="right" w:leader="dot" w:pos="9394"/>
            </w:tabs>
            <w:rPr>
              <w:rFonts w:asciiTheme="minorHAnsi" w:eastAsiaTheme="minorEastAsia" w:hAnsiTheme="minorHAnsi" w:cstheme="minorBidi"/>
              <w:noProof/>
              <w:lang w:val="es-419"/>
            </w:rPr>
          </w:pPr>
          <w:hyperlink w:anchor="_Toc57238630" w:history="1">
            <w:r w:rsidR="00ED57B1" w:rsidRPr="00EF07B2">
              <w:rPr>
                <w:rStyle w:val="Hipervnculo"/>
                <w:noProof/>
              </w:rPr>
              <w:t>2.4 Biodiversidad.</w:t>
            </w:r>
            <w:r w:rsidR="00ED57B1">
              <w:rPr>
                <w:noProof/>
                <w:webHidden/>
              </w:rPr>
              <w:tab/>
            </w:r>
            <w:r w:rsidR="00ED57B1">
              <w:rPr>
                <w:noProof/>
                <w:webHidden/>
              </w:rPr>
              <w:fldChar w:fldCharType="begin"/>
            </w:r>
            <w:r w:rsidR="00ED57B1">
              <w:rPr>
                <w:noProof/>
                <w:webHidden/>
              </w:rPr>
              <w:instrText xml:space="preserve"> PAGEREF _Toc57238630 \h </w:instrText>
            </w:r>
            <w:r w:rsidR="00ED57B1">
              <w:rPr>
                <w:noProof/>
                <w:webHidden/>
              </w:rPr>
            </w:r>
            <w:r w:rsidR="00ED57B1">
              <w:rPr>
                <w:noProof/>
                <w:webHidden/>
              </w:rPr>
              <w:fldChar w:fldCharType="separate"/>
            </w:r>
            <w:r w:rsidR="00ED57B1">
              <w:rPr>
                <w:noProof/>
                <w:webHidden/>
              </w:rPr>
              <w:t>65</w:t>
            </w:r>
            <w:r w:rsidR="00ED57B1">
              <w:rPr>
                <w:noProof/>
                <w:webHidden/>
              </w:rPr>
              <w:fldChar w:fldCharType="end"/>
            </w:r>
          </w:hyperlink>
        </w:p>
        <w:p w14:paraId="4E573CF7" w14:textId="5440C84E" w:rsidR="00ED57B1" w:rsidRDefault="007E54F3">
          <w:pPr>
            <w:pStyle w:val="TDC3"/>
            <w:tabs>
              <w:tab w:val="right" w:leader="dot" w:pos="9394"/>
            </w:tabs>
            <w:rPr>
              <w:rFonts w:asciiTheme="minorHAnsi" w:eastAsiaTheme="minorEastAsia" w:hAnsiTheme="minorHAnsi" w:cstheme="minorBidi"/>
              <w:noProof/>
              <w:lang w:val="es-419"/>
            </w:rPr>
          </w:pPr>
          <w:hyperlink w:anchor="_Toc57238631" w:history="1">
            <w:r w:rsidR="00ED57B1" w:rsidRPr="00EF07B2">
              <w:rPr>
                <w:rStyle w:val="Hipervnculo"/>
                <w:noProof/>
              </w:rPr>
              <w:t>2.4.1 Estructura ecológica principal</w:t>
            </w:r>
            <w:r w:rsidR="00ED57B1">
              <w:rPr>
                <w:noProof/>
                <w:webHidden/>
              </w:rPr>
              <w:tab/>
            </w:r>
            <w:r w:rsidR="00ED57B1">
              <w:rPr>
                <w:noProof/>
                <w:webHidden/>
              </w:rPr>
              <w:fldChar w:fldCharType="begin"/>
            </w:r>
            <w:r w:rsidR="00ED57B1">
              <w:rPr>
                <w:noProof/>
                <w:webHidden/>
              </w:rPr>
              <w:instrText xml:space="preserve"> PAGEREF _Toc57238631 \h </w:instrText>
            </w:r>
            <w:r w:rsidR="00ED57B1">
              <w:rPr>
                <w:noProof/>
                <w:webHidden/>
              </w:rPr>
            </w:r>
            <w:r w:rsidR="00ED57B1">
              <w:rPr>
                <w:noProof/>
                <w:webHidden/>
              </w:rPr>
              <w:fldChar w:fldCharType="separate"/>
            </w:r>
            <w:r w:rsidR="00ED57B1">
              <w:rPr>
                <w:noProof/>
                <w:webHidden/>
              </w:rPr>
              <w:t>65</w:t>
            </w:r>
            <w:r w:rsidR="00ED57B1">
              <w:rPr>
                <w:noProof/>
                <w:webHidden/>
              </w:rPr>
              <w:fldChar w:fldCharType="end"/>
            </w:r>
          </w:hyperlink>
        </w:p>
        <w:p w14:paraId="03CAC047" w14:textId="24B09EBE" w:rsidR="00ED57B1" w:rsidRDefault="007E54F3">
          <w:pPr>
            <w:pStyle w:val="TDC3"/>
            <w:tabs>
              <w:tab w:val="right" w:leader="dot" w:pos="9394"/>
            </w:tabs>
            <w:rPr>
              <w:rFonts w:asciiTheme="minorHAnsi" w:eastAsiaTheme="minorEastAsia" w:hAnsiTheme="minorHAnsi" w:cstheme="minorBidi"/>
              <w:noProof/>
              <w:lang w:val="es-419"/>
            </w:rPr>
          </w:pPr>
          <w:hyperlink w:anchor="_Toc57238632" w:history="1">
            <w:r w:rsidR="00ED57B1" w:rsidRPr="00EF07B2">
              <w:rPr>
                <w:rStyle w:val="Hipervnculo"/>
                <w:noProof/>
              </w:rPr>
              <w:t>2.4.2 Fauna y flora.</w:t>
            </w:r>
            <w:r w:rsidR="00ED57B1">
              <w:rPr>
                <w:noProof/>
                <w:webHidden/>
              </w:rPr>
              <w:tab/>
            </w:r>
            <w:r w:rsidR="00ED57B1">
              <w:rPr>
                <w:noProof/>
                <w:webHidden/>
              </w:rPr>
              <w:fldChar w:fldCharType="begin"/>
            </w:r>
            <w:r w:rsidR="00ED57B1">
              <w:rPr>
                <w:noProof/>
                <w:webHidden/>
              </w:rPr>
              <w:instrText xml:space="preserve"> PAGEREF _Toc57238632 \h </w:instrText>
            </w:r>
            <w:r w:rsidR="00ED57B1">
              <w:rPr>
                <w:noProof/>
                <w:webHidden/>
              </w:rPr>
            </w:r>
            <w:r w:rsidR="00ED57B1">
              <w:rPr>
                <w:noProof/>
                <w:webHidden/>
              </w:rPr>
              <w:fldChar w:fldCharType="separate"/>
            </w:r>
            <w:r w:rsidR="00ED57B1">
              <w:rPr>
                <w:noProof/>
                <w:webHidden/>
              </w:rPr>
              <w:t>67</w:t>
            </w:r>
            <w:r w:rsidR="00ED57B1">
              <w:rPr>
                <w:noProof/>
                <w:webHidden/>
              </w:rPr>
              <w:fldChar w:fldCharType="end"/>
            </w:r>
          </w:hyperlink>
        </w:p>
        <w:p w14:paraId="143F1087" w14:textId="31741CAB" w:rsidR="00ED57B1" w:rsidRDefault="007E54F3" w:rsidP="00ED57B1">
          <w:pPr>
            <w:pStyle w:val="TDC1"/>
            <w:rPr>
              <w:rFonts w:asciiTheme="minorHAnsi" w:eastAsiaTheme="minorEastAsia" w:hAnsiTheme="minorHAnsi" w:cstheme="minorBidi"/>
              <w:noProof/>
              <w:lang w:val="es-419"/>
            </w:rPr>
          </w:pPr>
          <w:hyperlink w:anchor="_Toc57238633" w:history="1">
            <w:r w:rsidR="00ED57B1" w:rsidRPr="00EF07B2">
              <w:rPr>
                <w:rStyle w:val="Hipervnculo"/>
                <w:bCs/>
                <w:noProof/>
              </w:rPr>
              <w:t>CAPÍTULO 3. FACTORES SOCIOECONÓMICOS.</w:t>
            </w:r>
            <w:r w:rsidR="00ED57B1">
              <w:rPr>
                <w:noProof/>
                <w:webHidden/>
              </w:rPr>
              <w:tab/>
            </w:r>
            <w:r w:rsidR="00ED57B1">
              <w:rPr>
                <w:noProof/>
                <w:webHidden/>
              </w:rPr>
              <w:fldChar w:fldCharType="begin"/>
            </w:r>
            <w:r w:rsidR="00ED57B1">
              <w:rPr>
                <w:noProof/>
                <w:webHidden/>
              </w:rPr>
              <w:instrText xml:space="preserve"> PAGEREF _Toc57238633 \h </w:instrText>
            </w:r>
            <w:r w:rsidR="00ED57B1">
              <w:rPr>
                <w:noProof/>
                <w:webHidden/>
              </w:rPr>
            </w:r>
            <w:r w:rsidR="00ED57B1">
              <w:rPr>
                <w:noProof/>
                <w:webHidden/>
              </w:rPr>
              <w:fldChar w:fldCharType="separate"/>
            </w:r>
            <w:r w:rsidR="00ED57B1">
              <w:rPr>
                <w:noProof/>
                <w:webHidden/>
              </w:rPr>
              <w:t>68</w:t>
            </w:r>
            <w:r w:rsidR="00ED57B1">
              <w:rPr>
                <w:noProof/>
                <w:webHidden/>
              </w:rPr>
              <w:fldChar w:fldCharType="end"/>
            </w:r>
          </w:hyperlink>
        </w:p>
        <w:p w14:paraId="5269CF60" w14:textId="473D3F05" w:rsidR="00ED57B1" w:rsidRDefault="007E54F3">
          <w:pPr>
            <w:pStyle w:val="TDC2"/>
            <w:tabs>
              <w:tab w:val="right" w:leader="dot" w:pos="9394"/>
            </w:tabs>
            <w:rPr>
              <w:rFonts w:asciiTheme="minorHAnsi" w:eastAsiaTheme="minorEastAsia" w:hAnsiTheme="minorHAnsi" w:cstheme="minorBidi"/>
              <w:noProof/>
              <w:lang w:val="es-419"/>
            </w:rPr>
          </w:pPr>
          <w:hyperlink w:anchor="_Toc57238634" w:history="1">
            <w:r w:rsidR="00ED57B1" w:rsidRPr="00EF07B2">
              <w:rPr>
                <w:rStyle w:val="Hipervnculo"/>
                <w:noProof/>
              </w:rPr>
              <w:t>3.1  Características demográficas.</w:t>
            </w:r>
            <w:r w:rsidR="00ED57B1">
              <w:rPr>
                <w:noProof/>
                <w:webHidden/>
              </w:rPr>
              <w:tab/>
            </w:r>
            <w:r w:rsidR="00ED57B1">
              <w:rPr>
                <w:noProof/>
                <w:webHidden/>
              </w:rPr>
              <w:fldChar w:fldCharType="begin"/>
            </w:r>
            <w:r w:rsidR="00ED57B1">
              <w:rPr>
                <w:noProof/>
                <w:webHidden/>
              </w:rPr>
              <w:instrText xml:space="preserve"> PAGEREF _Toc57238634 \h </w:instrText>
            </w:r>
            <w:r w:rsidR="00ED57B1">
              <w:rPr>
                <w:noProof/>
                <w:webHidden/>
              </w:rPr>
            </w:r>
            <w:r w:rsidR="00ED57B1">
              <w:rPr>
                <w:noProof/>
                <w:webHidden/>
              </w:rPr>
              <w:fldChar w:fldCharType="separate"/>
            </w:r>
            <w:r w:rsidR="00ED57B1">
              <w:rPr>
                <w:noProof/>
                <w:webHidden/>
              </w:rPr>
              <w:t>68</w:t>
            </w:r>
            <w:r w:rsidR="00ED57B1">
              <w:rPr>
                <w:noProof/>
                <w:webHidden/>
              </w:rPr>
              <w:fldChar w:fldCharType="end"/>
            </w:r>
          </w:hyperlink>
        </w:p>
        <w:p w14:paraId="404588E4" w14:textId="4DDE5FA4" w:rsidR="00ED57B1" w:rsidRDefault="007E54F3">
          <w:pPr>
            <w:pStyle w:val="TDC2"/>
            <w:tabs>
              <w:tab w:val="right" w:leader="dot" w:pos="9394"/>
            </w:tabs>
            <w:rPr>
              <w:rFonts w:asciiTheme="minorHAnsi" w:eastAsiaTheme="minorEastAsia" w:hAnsiTheme="minorHAnsi" w:cstheme="minorBidi"/>
              <w:noProof/>
              <w:lang w:val="es-419"/>
            </w:rPr>
          </w:pPr>
          <w:hyperlink w:anchor="_Toc57238635" w:history="1">
            <w:r w:rsidR="00ED57B1" w:rsidRPr="00EF07B2">
              <w:rPr>
                <w:rStyle w:val="Hipervnculo"/>
                <w:noProof/>
              </w:rPr>
              <w:t>3.2  Crecimiento.</w:t>
            </w:r>
            <w:r w:rsidR="00ED57B1">
              <w:rPr>
                <w:noProof/>
                <w:webHidden/>
              </w:rPr>
              <w:tab/>
            </w:r>
            <w:r w:rsidR="00ED57B1">
              <w:rPr>
                <w:noProof/>
                <w:webHidden/>
              </w:rPr>
              <w:fldChar w:fldCharType="begin"/>
            </w:r>
            <w:r w:rsidR="00ED57B1">
              <w:rPr>
                <w:noProof/>
                <w:webHidden/>
              </w:rPr>
              <w:instrText xml:space="preserve"> PAGEREF _Toc57238635 \h </w:instrText>
            </w:r>
            <w:r w:rsidR="00ED57B1">
              <w:rPr>
                <w:noProof/>
                <w:webHidden/>
              </w:rPr>
            </w:r>
            <w:r w:rsidR="00ED57B1">
              <w:rPr>
                <w:noProof/>
                <w:webHidden/>
              </w:rPr>
              <w:fldChar w:fldCharType="separate"/>
            </w:r>
            <w:r w:rsidR="00ED57B1">
              <w:rPr>
                <w:noProof/>
                <w:webHidden/>
              </w:rPr>
              <w:t>68</w:t>
            </w:r>
            <w:r w:rsidR="00ED57B1">
              <w:rPr>
                <w:noProof/>
                <w:webHidden/>
              </w:rPr>
              <w:fldChar w:fldCharType="end"/>
            </w:r>
          </w:hyperlink>
        </w:p>
        <w:p w14:paraId="46A165B3" w14:textId="2D4CE956" w:rsidR="00ED57B1" w:rsidRDefault="007E54F3">
          <w:pPr>
            <w:pStyle w:val="TDC2"/>
            <w:tabs>
              <w:tab w:val="right" w:leader="dot" w:pos="9394"/>
            </w:tabs>
            <w:rPr>
              <w:rFonts w:asciiTheme="minorHAnsi" w:eastAsiaTheme="minorEastAsia" w:hAnsiTheme="minorHAnsi" w:cstheme="minorBidi"/>
              <w:noProof/>
              <w:lang w:val="es-419"/>
            </w:rPr>
          </w:pPr>
          <w:hyperlink w:anchor="_Toc57238636" w:history="1">
            <w:r w:rsidR="00ED57B1" w:rsidRPr="00EF07B2">
              <w:rPr>
                <w:rStyle w:val="Hipervnculo"/>
                <w:noProof/>
              </w:rPr>
              <w:t>3.3  Estratificación.</w:t>
            </w:r>
            <w:r w:rsidR="00ED57B1">
              <w:rPr>
                <w:noProof/>
                <w:webHidden/>
              </w:rPr>
              <w:tab/>
            </w:r>
            <w:r w:rsidR="00ED57B1">
              <w:rPr>
                <w:noProof/>
                <w:webHidden/>
              </w:rPr>
              <w:fldChar w:fldCharType="begin"/>
            </w:r>
            <w:r w:rsidR="00ED57B1">
              <w:rPr>
                <w:noProof/>
                <w:webHidden/>
              </w:rPr>
              <w:instrText xml:space="preserve"> PAGEREF _Toc57238636 \h </w:instrText>
            </w:r>
            <w:r w:rsidR="00ED57B1">
              <w:rPr>
                <w:noProof/>
                <w:webHidden/>
              </w:rPr>
            </w:r>
            <w:r w:rsidR="00ED57B1">
              <w:rPr>
                <w:noProof/>
                <w:webHidden/>
              </w:rPr>
              <w:fldChar w:fldCharType="separate"/>
            </w:r>
            <w:r w:rsidR="00ED57B1">
              <w:rPr>
                <w:noProof/>
                <w:webHidden/>
              </w:rPr>
              <w:t>68</w:t>
            </w:r>
            <w:r w:rsidR="00ED57B1">
              <w:rPr>
                <w:noProof/>
                <w:webHidden/>
              </w:rPr>
              <w:fldChar w:fldCharType="end"/>
            </w:r>
          </w:hyperlink>
        </w:p>
        <w:p w14:paraId="38C759D2" w14:textId="2C3056BF" w:rsidR="00ED57B1" w:rsidRDefault="007E54F3">
          <w:pPr>
            <w:pStyle w:val="TDC2"/>
            <w:tabs>
              <w:tab w:val="right" w:leader="dot" w:pos="9394"/>
            </w:tabs>
            <w:rPr>
              <w:rFonts w:asciiTheme="minorHAnsi" w:eastAsiaTheme="minorEastAsia" w:hAnsiTheme="minorHAnsi" w:cstheme="minorBidi"/>
              <w:noProof/>
              <w:lang w:val="es-419"/>
            </w:rPr>
          </w:pPr>
          <w:hyperlink w:anchor="_Toc57238637" w:history="1">
            <w:r w:rsidR="00ED57B1" w:rsidRPr="00EF07B2">
              <w:rPr>
                <w:rStyle w:val="Hipervnculo"/>
                <w:noProof/>
              </w:rPr>
              <w:t>3.4  Viviendas de uso comercial.</w:t>
            </w:r>
            <w:r w:rsidR="00ED57B1">
              <w:rPr>
                <w:noProof/>
                <w:webHidden/>
              </w:rPr>
              <w:tab/>
            </w:r>
            <w:r w:rsidR="00ED57B1">
              <w:rPr>
                <w:noProof/>
                <w:webHidden/>
              </w:rPr>
              <w:fldChar w:fldCharType="begin"/>
            </w:r>
            <w:r w:rsidR="00ED57B1">
              <w:rPr>
                <w:noProof/>
                <w:webHidden/>
              </w:rPr>
              <w:instrText xml:space="preserve"> PAGEREF _Toc57238637 \h </w:instrText>
            </w:r>
            <w:r w:rsidR="00ED57B1">
              <w:rPr>
                <w:noProof/>
                <w:webHidden/>
              </w:rPr>
            </w:r>
            <w:r w:rsidR="00ED57B1">
              <w:rPr>
                <w:noProof/>
                <w:webHidden/>
              </w:rPr>
              <w:fldChar w:fldCharType="separate"/>
            </w:r>
            <w:r w:rsidR="00ED57B1">
              <w:rPr>
                <w:noProof/>
                <w:webHidden/>
              </w:rPr>
              <w:t>68</w:t>
            </w:r>
            <w:r w:rsidR="00ED57B1">
              <w:rPr>
                <w:noProof/>
                <w:webHidden/>
              </w:rPr>
              <w:fldChar w:fldCharType="end"/>
            </w:r>
          </w:hyperlink>
        </w:p>
        <w:p w14:paraId="52CDA64E" w14:textId="01C89B49" w:rsidR="00ED57B1" w:rsidRDefault="007E54F3">
          <w:pPr>
            <w:pStyle w:val="TDC2"/>
            <w:tabs>
              <w:tab w:val="right" w:leader="dot" w:pos="9394"/>
            </w:tabs>
            <w:rPr>
              <w:rFonts w:asciiTheme="minorHAnsi" w:eastAsiaTheme="minorEastAsia" w:hAnsiTheme="minorHAnsi" w:cstheme="minorBidi"/>
              <w:noProof/>
              <w:lang w:val="es-419"/>
            </w:rPr>
          </w:pPr>
          <w:hyperlink w:anchor="_Toc57238638" w:history="1">
            <w:r w:rsidR="00ED57B1" w:rsidRPr="00EF07B2">
              <w:rPr>
                <w:rStyle w:val="Hipervnculo"/>
                <w:noProof/>
              </w:rPr>
              <w:t>3.5  Tasa de ocupación e informalidad.</w:t>
            </w:r>
            <w:r w:rsidR="00ED57B1">
              <w:rPr>
                <w:noProof/>
                <w:webHidden/>
              </w:rPr>
              <w:tab/>
            </w:r>
            <w:r w:rsidR="00ED57B1">
              <w:rPr>
                <w:noProof/>
                <w:webHidden/>
              </w:rPr>
              <w:fldChar w:fldCharType="begin"/>
            </w:r>
            <w:r w:rsidR="00ED57B1">
              <w:rPr>
                <w:noProof/>
                <w:webHidden/>
              </w:rPr>
              <w:instrText xml:space="preserve"> PAGEREF _Toc57238638 \h </w:instrText>
            </w:r>
            <w:r w:rsidR="00ED57B1">
              <w:rPr>
                <w:noProof/>
                <w:webHidden/>
              </w:rPr>
            </w:r>
            <w:r w:rsidR="00ED57B1">
              <w:rPr>
                <w:noProof/>
                <w:webHidden/>
              </w:rPr>
              <w:fldChar w:fldCharType="separate"/>
            </w:r>
            <w:r w:rsidR="00ED57B1">
              <w:rPr>
                <w:noProof/>
                <w:webHidden/>
              </w:rPr>
              <w:t>69</w:t>
            </w:r>
            <w:r w:rsidR="00ED57B1">
              <w:rPr>
                <w:noProof/>
                <w:webHidden/>
              </w:rPr>
              <w:fldChar w:fldCharType="end"/>
            </w:r>
          </w:hyperlink>
        </w:p>
        <w:p w14:paraId="3671D015" w14:textId="2BC009B3" w:rsidR="00ED57B1" w:rsidRDefault="007E54F3">
          <w:pPr>
            <w:pStyle w:val="TDC2"/>
            <w:tabs>
              <w:tab w:val="right" w:leader="dot" w:pos="9394"/>
            </w:tabs>
            <w:rPr>
              <w:rFonts w:asciiTheme="minorHAnsi" w:eastAsiaTheme="minorEastAsia" w:hAnsiTheme="minorHAnsi" w:cstheme="minorBidi"/>
              <w:noProof/>
              <w:lang w:val="es-419"/>
            </w:rPr>
          </w:pPr>
          <w:hyperlink w:anchor="_Toc57238639" w:history="1">
            <w:r w:rsidR="00ED57B1" w:rsidRPr="00EF07B2">
              <w:rPr>
                <w:rStyle w:val="Hipervnculo"/>
                <w:noProof/>
              </w:rPr>
              <w:t>3.6 Nivel de ingresos.</w:t>
            </w:r>
            <w:r w:rsidR="00ED57B1">
              <w:rPr>
                <w:noProof/>
                <w:webHidden/>
              </w:rPr>
              <w:tab/>
            </w:r>
            <w:r w:rsidR="00ED57B1">
              <w:rPr>
                <w:noProof/>
                <w:webHidden/>
              </w:rPr>
              <w:fldChar w:fldCharType="begin"/>
            </w:r>
            <w:r w:rsidR="00ED57B1">
              <w:rPr>
                <w:noProof/>
                <w:webHidden/>
              </w:rPr>
              <w:instrText xml:space="preserve"> PAGEREF _Toc57238639 \h </w:instrText>
            </w:r>
            <w:r w:rsidR="00ED57B1">
              <w:rPr>
                <w:noProof/>
                <w:webHidden/>
              </w:rPr>
            </w:r>
            <w:r w:rsidR="00ED57B1">
              <w:rPr>
                <w:noProof/>
                <w:webHidden/>
              </w:rPr>
              <w:fldChar w:fldCharType="separate"/>
            </w:r>
            <w:r w:rsidR="00ED57B1">
              <w:rPr>
                <w:noProof/>
                <w:webHidden/>
              </w:rPr>
              <w:t>69</w:t>
            </w:r>
            <w:r w:rsidR="00ED57B1">
              <w:rPr>
                <w:noProof/>
                <w:webHidden/>
              </w:rPr>
              <w:fldChar w:fldCharType="end"/>
            </w:r>
          </w:hyperlink>
        </w:p>
        <w:p w14:paraId="474895FD" w14:textId="52936F0C" w:rsidR="00ED57B1" w:rsidRDefault="007E54F3">
          <w:pPr>
            <w:pStyle w:val="TDC2"/>
            <w:tabs>
              <w:tab w:val="right" w:leader="dot" w:pos="9394"/>
            </w:tabs>
            <w:rPr>
              <w:rFonts w:asciiTheme="minorHAnsi" w:eastAsiaTheme="minorEastAsia" w:hAnsiTheme="minorHAnsi" w:cstheme="minorBidi"/>
              <w:noProof/>
              <w:lang w:val="es-419"/>
            </w:rPr>
          </w:pPr>
          <w:hyperlink w:anchor="_Toc57238640" w:history="1">
            <w:r w:rsidR="00ED57B1" w:rsidRPr="00EF07B2">
              <w:rPr>
                <w:rStyle w:val="Hipervnculo"/>
                <w:noProof/>
              </w:rPr>
              <w:t>3.7  Equipamientos.</w:t>
            </w:r>
            <w:r w:rsidR="00ED57B1">
              <w:rPr>
                <w:noProof/>
                <w:webHidden/>
              </w:rPr>
              <w:tab/>
            </w:r>
            <w:r w:rsidR="00ED57B1">
              <w:rPr>
                <w:noProof/>
                <w:webHidden/>
              </w:rPr>
              <w:fldChar w:fldCharType="begin"/>
            </w:r>
            <w:r w:rsidR="00ED57B1">
              <w:rPr>
                <w:noProof/>
                <w:webHidden/>
              </w:rPr>
              <w:instrText xml:space="preserve"> PAGEREF _Toc57238640 \h </w:instrText>
            </w:r>
            <w:r w:rsidR="00ED57B1">
              <w:rPr>
                <w:noProof/>
                <w:webHidden/>
              </w:rPr>
            </w:r>
            <w:r w:rsidR="00ED57B1">
              <w:rPr>
                <w:noProof/>
                <w:webHidden/>
              </w:rPr>
              <w:fldChar w:fldCharType="separate"/>
            </w:r>
            <w:r w:rsidR="00ED57B1">
              <w:rPr>
                <w:noProof/>
                <w:webHidden/>
              </w:rPr>
              <w:t>69</w:t>
            </w:r>
            <w:r w:rsidR="00ED57B1">
              <w:rPr>
                <w:noProof/>
                <w:webHidden/>
              </w:rPr>
              <w:fldChar w:fldCharType="end"/>
            </w:r>
          </w:hyperlink>
        </w:p>
        <w:p w14:paraId="46AED504" w14:textId="636D5C01" w:rsidR="00ED57B1" w:rsidRDefault="007E54F3">
          <w:pPr>
            <w:pStyle w:val="TDC3"/>
            <w:tabs>
              <w:tab w:val="right" w:leader="dot" w:pos="9394"/>
            </w:tabs>
            <w:rPr>
              <w:rFonts w:asciiTheme="minorHAnsi" w:eastAsiaTheme="minorEastAsia" w:hAnsiTheme="minorHAnsi" w:cstheme="minorBidi"/>
              <w:noProof/>
              <w:lang w:val="es-419"/>
            </w:rPr>
          </w:pPr>
          <w:hyperlink w:anchor="_Toc57238641" w:history="1">
            <w:r w:rsidR="00ED57B1" w:rsidRPr="00EF07B2">
              <w:rPr>
                <w:rStyle w:val="Hipervnculo"/>
                <w:noProof/>
              </w:rPr>
              <w:t>3.7.1 Institucionales.</w:t>
            </w:r>
            <w:r w:rsidR="00ED57B1">
              <w:rPr>
                <w:noProof/>
                <w:webHidden/>
              </w:rPr>
              <w:tab/>
            </w:r>
            <w:r w:rsidR="00ED57B1">
              <w:rPr>
                <w:noProof/>
                <w:webHidden/>
              </w:rPr>
              <w:fldChar w:fldCharType="begin"/>
            </w:r>
            <w:r w:rsidR="00ED57B1">
              <w:rPr>
                <w:noProof/>
                <w:webHidden/>
              </w:rPr>
              <w:instrText xml:space="preserve"> PAGEREF _Toc57238641 \h </w:instrText>
            </w:r>
            <w:r w:rsidR="00ED57B1">
              <w:rPr>
                <w:noProof/>
                <w:webHidden/>
              </w:rPr>
            </w:r>
            <w:r w:rsidR="00ED57B1">
              <w:rPr>
                <w:noProof/>
                <w:webHidden/>
              </w:rPr>
              <w:fldChar w:fldCharType="separate"/>
            </w:r>
            <w:r w:rsidR="00ED57B1">
              <w:rPr>
                <w:noProof/>
                <w:webHidden/>
              </w:rPr>
              <w:t>69</w:t>
            </w:r>
            <w:r w:rsidR="00ED57B1">
              <w:rPr>
                <w:noProof/>
                <w:webHidden/>
              </w:rPr>
              <w:fldChar w:fldCharType="end"/>
            </w:r>
          </w:hyperlink>
        </w:p>
        <w:p w14:paraId="3C2EC695" w14:textId="5A9310F6" w:rsidR="00ED57B1" w:rsidRDefault="007E54F3">
          <w:pPr>
            <w:pStyle w:val="TDC3"/>
            <w:tabs>
              <w:tab w:val="right" w:leader="dot" w:pos="9394"/>
            </w:tabs>
            <w:rPr>
              <w:rFonts w:asciiTheme="minorHAnsi" w:eastAsiaTheme="minorEastAsia" w:hAnsiTheme="minorHAnsi" w:cstheme="minorBidi"/>
              <w:noProof/>
              <w:lang w:val="es-419"/>
            </w:rPr>
          </w:pPr>
          <w:hyperlink w:anchor="_Toc57238642" w:history="1">
            <w:r w:rsidR="00ED57B1" w:rsidRPr="00EF07B2">
              <w:rPr>
                <w:rStyle w:val="Hipervnculo"/>
                <w:noProof/>
              </w:rPr>
              <w:t>3.7.2 Educativos.</w:t>
            </w:r>
            <w:r w:rsidR="00ED57B1">
              <w:rPr>
                <w:noProof/>
                <w:webHidden/>
              </w:rPr>
              <w:tab/>
            </w:r>
            <w:r w:rsidR="00ED57B1">
              <w:rPr>
                <w:noProof/>
                <w:webHidden/>
              </w:rPr>
              <w:fldChar w:fldCharType="begin"/>
            </w:r>
            <w:r w:rsidR="00ED57B1">
              <w:rPr>
                <w:noProof/>
                <w:webHidden/>
              </w:rPr>
              <w:instrText xml:space="preserve"> PAGEREF _Toc57238642 \h </w:instrText>
            </w:r>
            <w:r w:rsidR="00ED57B1">
              <w:rPr>
                <w:noProof/>
                <w:webHidden/>
              </w:rPr>
            </w:r>
            <w:r w:rsidR="00ED57B1">
              <w:rPr>
                <w:noProof/>
                <w:webHidden/>
              </w:rPr>
              <w:fldChar w:fldCharType="separate"/>
            </w:r>
            <w:r w:rsidR="00ED57B1">
              <w:rPr>
                <w:noProof/>
                <w:webHidden/>
              </w:rPr>
              <w:t>70</w:t>
            </w:r>
            <w:r w:rsidR="00ED57B1">
              <w:rPr>
                <w:noProof/>
                <w:webHidden/>
              </w:rPr>
              <w:fldChar w:fldCharType="end"/>
            </w:r>
          </w:hyperlink>
        </w:p>
        <w:p w14:paraId="69850A95" w14:textId="2440252D" w:rsidR="00ED57B1" w:rsidRDefault="007E54F3">
          <w:pPr>
            <w:pStyle w:val="TDC3"/>
            <w:tabs>
              <w:tab w:val="right" w:leader="dot" w:pos="9394"/>
            </w:tabs>
            <w:rPr>
              <w:rFonts w:asciiTheme="minorHAnsi" w:eastAsiaTheme="minorEastAsia" w:hAnsiTheme="minorHAnsi" w:cstheme="minorBidi"/>
              <w:noProof/>
              <w:lang w:val="es-419"/>
            </w:rPr>
          </w:pPr>
          <w:hyperlink w:anchor="_Toc57238643" w:history="1">
            <w:r w:rsidR="00ED57B1" w:rsidRPr="00EF07B2">
              <w:rPr>
                <w:rStyle w:val="Hipervnculo"/>
                <w:noProof/>
              </w:rPr>
              <w:t>3.7.3 Salud.</w:t>
            </w:r>
            <w:r w:rsidR="00ED57B1">
              <w:rPr>
                <w:noProof/>
                <w:webHidden/>
              </w:rPr>
              <w:tab/>
            </w:r>
            <w:r w:rsidR="00ED57B1">
              <w:rPr>
                <w:noProof/>
                <w:webHidden/>
              </w:rPr>
              <w:fldChar w:fldCharType="begin"/>
            </w:r>
            <w:r w:rsidR="00ED57B1">
              <w:rPr>
                <w:noProof/>
                <w:webHidden/>
              </w:rPr>
              <w:instrText xml:space="preserve"> PAGEREF _Toc57238643 \h </w:instrText>
            </w:r>
            <w:r w:rsidR="00ED57B1">
              <w:rPr>
                <w:noProof/>
                <w:webHidden/>
              </w:rPr>
            </w:r>
            <w:r w:rsidR="00ED57B1">
              <w:rPr>
                <w:noProof/>
                <w:webHidden/>
              </w:rPr>
              <w:fldChar w:fldCharType="separate"/>
            </w:r>
            <w:r w:rsidR="00ED57B1">
              <w:rPr>
                <w:noProof/>
                <w:webHidden/>
              </w:rPr>
              <w:t>70</w:t>
            </w:r>
            <w:r w:rsidR="00ED57B1">
              <w:rPr>
                <w:noProof/>
                <w:webHidden/>
              </w:rPr>
              <w:fldChar w:fldCharType="end"/>
            </w:r>
          </w:hyperlink>
        </w:p>
        <w:p w14:paraId="2FF3E8C5" w14:textId="6B4B44ED" w:rsidR="00ED57B1" w:rsidRDefault="007E54F3">
          <w:pPr>
            <w:pStyle w:val="TDC3"/>
            <w:tabs>
              <w:tab w:val="right" w:leader="dot" w:pos="9394"/>
            </w:tabs>
            <w:rPr>
              <w:rFonts w:asciiTheme="minorHAnsi" w:eastAsiaTheme="minorEastAsia" w:hAnsiTheme="minorHAnsi" w:cstheme="minorBidi"/>
              <w:noProof/>
              <w:lang w:val="es-419"/>
            </w:rPr>
          </w:pPr>
          <w:hyperlink w:anchor="_Toc57238644" w:history="1">
            <w:r w:rsidR="00ED57B1" w:rsidRPr="00EF07B2">
              <w:rPr>
                <w:rStyle w:val="Hipervnculo"/>
                <w:noProof/>
              </w:rPr>
              <w:t>3.7.4 Organización comunitaria.</w:t>
            </w:r>
            <w:r w:rsidR="00ED57B1">
              <w:rPr>
                <w:noProof/>
                <w:webHidden/>
              </w:rPr>
              <w:tab/>
            </w:r>
            <w:r w:rsidR="00ED57B1">
              <w:rPr>
                <w:noProof/>
                <w:webHidden/>
              </w:rPr>
              <w:fldChar w:fldCharType="begin"/>
            </w:r>
            <w:r w:rsidR="00ED57B1">
              <w:rPr>
                <w:noProof/>
                <w:webHidden/>
              </w:rPr>
              <w:instrText xml:space="preserve"> PAGEREF _Toc57238644 \h </w:instrText>
            </w:r>
            <w:r w:rsidR="00ED57B1">
              <w:rPr>
                <w:noProof/>
                <w:webHidden/>
              </w:rPr>
            </w:r>
            <w:r w:rsidR="00ED57B1">
              <w:rPr>
                <w:noProof/>
                <w:webHidden/>
              </w:rPr>
              <w:fldChar w:fldCharType="separate"/>
            </w:r>
            <w:r w:rsidR="00ED57B1">
              <w:rPr>
                <w:noProof/>
                <w:webHidden/>
              </w:rPr>
              <w:t>70</w:t>
            </w:r>
            <w:r w:rsidR="00ED57B1">
              <w:rPr>
                <w:noProof/>
                <w:webHidden/>
              </w:rPr>
              <w:fldChar w:fldCharType="end"/>
            </w:r>
          </w:hyperlink>
        </w:p>
        <w:p w14:paraId="3B35A3F6" w14:textId="3C376F5F" w:rsidR="00ED57B1" w:rsidRDefault="007E54F3">
          <w:pPr>
            <w:pStyle w:val="TDC3"/>
            <w:tabs>
              <w:tab w:val="right" w:leader="dot" w:pos="9394"/>
            </w:tabs>
            <w:rPr>
              <w:rFonts w:asciiTheme="minorHAnsi" w:eastAsiaTheme="minorEastAsia" w:hAnsiTheme="minorHAnsi" w:cstheme="minorBidi"/>
              <w:noProof/>
              <w:lang w:val="es-419"/>
            </w:rPr>
          </w:pPr>
          <w:hyperlink w:anchor="_Toc57238645" w:history="1">
            <w:r w:rsidR="00ED57B1" w:rsidRPr="00EF07B2">
              <w:rPr>
                <w:rStyle w:val="Hipervnculo"/>
                <w:noProof/>
              </w:rPr>
              <w:t>3.7.5 Cultura.</w:t>
            </w:r>
            <w:r w:rsidR="00ED57B1">
              <w:rPr>
                <w:noProof/>
                <w:webHidden/>
              </w:rPr>
              <w:tab/>
            </w:r>
            <w:r w:rsidR="00ED57B1">
              <w:rPr>
                <w:noProof/>
                <w:webHidden/>
              </w:rPr>
              <w:fldChar w:fldCharType="begin"/>
            </w:r>
            <w:r w:rsidR="00ED57B1">
              <w:rPr>
                <w:noProof/>
                <w:webHidden/>
              </w:rPr>
              <w:instrText xml:space="preserve"> PAGEREF _Toc57238645 \h </w:instrText>
            </w:r>
            <w:r w:rsidR="00ED57B1">
              <w:rPr>
                <w:noProof/>
                <w:webHidden/>
              </w:rPr>
            </w:r>
            <w:r w:rsidR="00ED57B1">
              <w:rPr>
                <w:noProof/>
                <w:webHidden/>
              </w:rPr>
              <w:fldChar w:fldCharType="separate"/>
            </w:r>
            <w:r w:rsidR="00ED57B1">
              <w:rPr>
                <w:noProof/>
                <w:webHidden/>
              </w:rPr>
              <w:t>70</w:t>
            </w:r>
            <w:r w:rsidR="00ED57B1">
              <w:rPr>
                <w:noProof/>
                <w:webHidden/>
              </w:rPr>
              <w:fldChar w:fldCharType="end"/>
            </w:r>
          </w:hyperlink>
        </w:p>
        <w:p w14:paraId="13DFD868" w14:textId="152BCC81" w:rsidR="00ED57B1" w:rsidRDefault="007E54F3" w:rsidP="00ED57B1">
          <w:pPr>
            <w:pStyle w:val="TDC1"/>
            <w:rPr>
              <w:rFonts w:asciiTheme="minorHAnsi" w:eastAsiaTheme="minorEastAsia" w:hAnsiTheme="minorHAnsi" w:cstheme="minorBidi"/>
              <w:noProof/>
              <w:lang w:val="es-419"/>
            </w:rPr>
          </w:pPr>
          <w:hyperlink w:anchor="_Toc57238646" w:history="1">
            <w:r w:rsidR="00ED57B1" w:rsidRPr="00EF07B2">
              <w:rPr>
                <w:rStyle w:val="Hipervnculo"/>
                <w:noProof/>
              </w:rPr>
              <w:t>CAPÍTULO 4.  GESTIÓN DEL RIESGO.</w:t>
            </w:r>
            <w:r w:rsidR="00ED57B1">
              <w:rPr>
                <w:noProof/>
                <w:webHidden/>
              </w:rPr>
              <w:tab/>
            </w:r>
            <w:r w:rsidR="00ED57B1">
              <w:rPr>
                <w:noProof/>
                <w:webHidden/>
              </w:rPr>
              <w:fldChar w:fldCharType="begin"/>
            </w:r>
            <w:r w:rsidR="00ED57B1">
              <w:rPr>
                <w:noProof/>
                <w:webHidden/>
              </w:rPr>
              <w:instrText xml:space="preserve"> PAGEREF _Toc57238646 \h </w:instrText>
            </w:r>
            <w:r w:rsidR="00ED57B1">
              <w:rPr>
                <w:noProof/>
                <w:webHidden/>
              </w:rPr>
            </w:r>
            <w:r w:rsidR="00ED57B1">
              <w:rPr>
                <w:noProof/>
                <w:webHidden/>
              </w:rPr>
              <w:fldChar w:fldCharType="separate"/>
            </w:r>
            <w:r w:rsidR="00ED57B1">
              <w:rPr>
                <w:noProof/>
                <w:webHidden/>
              </w:rPr>
              <w:t>71</w:t>
            </w:r>
            <w:r w:rsidR="00ED57B1">
              <w:rPr>
                <w:noProof/>
                <w:webHidden/>
              </w:rPr>
              <w:fldChar w:fldCharType="end"/>
            </w:r>
          </w:hyperlink>
        </w:p>
        <w:p w14:paraId="0D7DBE90" w14:textId="33F8CD9D" w:rsidR="00ED57B1" w:rsidRDefault="007E54F3">
          <w:pPr>
            <w:pStyle w:val="TDC2"/>
            <w:tabs>
              <w:tab w:val="right" w:leader="dot" w:pos="9394"/>
            </w:tabs>
            <w:rPr>
              <w:rFonts w:asciiTheme="minorHAnsi" w:eastAsiaTheme="minorEastAsia" w:hAnsiTheme="minorHAnsi" w:cstheme="minorBidi"/>
              <w:noProof/>
              <w:lang w:val="es-419"/>
            </w:rPr>
          </w:pPr>
          <w:hyperlink w:anchor="_Toc57238647" w:history="1">
            <w:r w:rsidR="00ED57B1" w:rsidRPr="00EF07B2">
              <w:rPr>
                <w:rStyle w:val="Hipervnculo"/>
                <w:noProof/>
              </w:rPr>
              <w:t>4.1 Identificación de escenarios  de riesgo.</w:t>
            </w:r>
            <w:r w:rsidR="00ED57B1">
              <w:rPr>
                <w:noProof/>
                <w:webHidden/>
              </w:rPr>
              <w:tab/>
            </w:r>
            <w:r w:rsidR="00ED57B1">
              <w:rPr>
                <w:noProof/>
                <w:webHidden/>
              </w:rPr>
              <w:fldChar w:fldCharType="begin"/>
            </w:r>
            <w:r w:rsidR="00ED57B1">
              <w:rPr>
                <w:noProof/>
                <w:webHidden/>
              </w:rPr>
              <w:instrText xml:space="preserve"> PAGEREF _Toc57238647 \h </w:instrText>
            </w:r>
            <w:r w:rsidR="00ED57B1">
              <w:rPr>
                <w:noProof/>
                <w:webHidden/>
              </w:rPr>
            </w:r>
            <w:r w:rsidR="00ED57B1">
              <w:rPr>
                <w:noProof/>
                <w:webHidden/>
              </w:rPr>
              <w:fldChar w:fldCharType="separate"/>
            </w:r>
            <w:r w:rsidR="00ED57B1">
              <w:rPr>
                <w:noProof/>
                <w:webHidden/>
              </w:rPr>
              <w:t>71</w:t>
            </w:r>
            <w:r w:rsidR="00ED57B1">
              <w:rPr>
                <w:noProof/>
                <w:webHidden/>
              </w:rPr>
              <w:fldChar w:fldCharType="end"/>
            </w:r>
          </w:hyperlink>
        </w:p>
        <w:p w14:paraId="2C04574E" w14:textId="64917AA7" w:rsidR="00ED57B1" w:rsidRDefault="007E54F3">
          <w:pPr>
            <w:pStyle w:val="TDC2"/>
            <w:tabs>
              <w:tab w:val="right" w:leader="dot" w:pos="9394"/>
            </w:tabs>
            <w:rPr>
              <w:rFonts w:asciiTheme="minorHAnsi" w:eastAsiaTheme="minorEastAsia" w:hAnsiTheme="minorHAnsi" w:cstheme="minorBidi"/>
              <w:noProof/>
              <w:lang w:val="es-419"/>
            </w:rPr>
          </w:pPr>
          <w:hyperlink w:anchor="_Toc57238648" w:history="1">
            <w:r w:rsidR="00ED57B1" w:rsidRPr="00EF07B2">
              <w:rPr>
                <w:rStyle w:val="Hipervnculo"/>
                <w:noProof/>
              </w:rPr>
              <w:t>4.2 Consolidación y priorización de escenarios de riesgo.</w:t>
            </w:r>
            <w:r w:rsidR="00ED57B1">
              <w:rPr>
                <w:noProof/>
                <w:webHidden/>
              </w:rPr>
              <w:tab/>
            </w:r>
            <w:r w:rsidR="00ED57B1">
              <w:rPr>
                <w:noProof/>
                <w:webHidden/>
              </w:rPr>
              <w:fldChar w:fldCharType="begin"/>
            </w:r>
            <w:r w:rsidR="00ED57B1">
              <w:rPr>
                <w:noProof/>
                <w:webHidden/>
              </w:rPr>
              <w:instrText xml:space="preserve"> PAGEREF _Toc57238648 \h </w:instrText>
            </w:r>
            <w:r w:rsidR="00ED57B1">
              <w:rPr>
                <w:noProof/>
                <w:webHidden/>
              </w:rPr>
            </w:r>
            <w:r w:rsidR="00ED57B1">
              <w:rPr>
                <w:noProof/>
                <w:webHidden/>
              </w:rPr>
              <w:fldChar w:fldCharType="separate"/>
            </w:r>
            <w:r w:rsidR="00ED57B1">
              <w:rPr>
                <w:noProof/>
                <w:webHidden/>
              </w:rPr>
              <w:t>72</w:t>
            </w:r>
            <w:r w:rsidR="00ED57B1">
              <w:rPr>
                <w:noProof/>
                <w:webHidden/>
              </w:rPr>
              <w:fldChar w:fldCharType="end"/>
            </w:r>
          </w:hyperlink>
        </w:p>
        <w:p w14:paraId="3D961FA1" w14:textId="12552F2D" w:rsidR="00ED57B1" w:rsidRDefault="007E54F3" w:rsidP="00ED57B1">
          <w:pPr>
            <w:pStyle w:val="TDC1"/>
            <w:rPr>
              <w:rFonts w:asciiTheme="minorHAnsi" w:eastAsiaTheme="minorEastAsia" w:hAnsiTheme="minorHAnsi" w:cstheme="minorBidi"/>
              <w:noProof/>
              <w:lang w:val="es-419"/>
            </w:rPr>
          </w:pPr>
          <w:hyperlink w:anchor="_Toc57238649" w:history="1">
            <w:r w:rsidR="00ED57B1" w:rsidRPr="00EF07B2">
              <w:rPr>
                <w:rStyle w:val="Hipervnculo"/>
                <w:noProof/>
              </w:rPr>
              <w:t>CAPÍTULO 5. PARTICIPACIÓN Y EDUCACIÓN AMBIENTAL</w:t>
            </w:r>
            <w:r w:rsidR="00ED57B1">
              <w:rPr>
                <w:noProof/>
                <w:webHidden/>
              </w:rPr>
              <w:tab/>
            </w:r>
            <w:r w:rsidR="00ED57B1">
              <w:rPr>
                <w:noProof/>
                <w:webHidden/>
              </w:rPr>
              <w:fldChar w:fldCharType="begin"/>
            </w:r>
            <w:r w:rsidR="00ED57B1">
              <w:rPr>
                <w:noProof/>
                <w:webHidden/>
              </w:rPr>
              <w:instrText xml:space="preserve"> PAGEREF _Toc57238649 \h </w:instrText>
            </w:r>
            <w:r w:rsidR="00ED57B1">
              <w:rPr>
                <w:noProof/>
                <w:webHidden/>
              </w:rPr>
            </w:r>
            <w:r w:rsidR="00ED57B1">
              <w:rPr>
                <w:noProof/>
                <w:webHidden/>
              </w:rPr>
              <w:fldChar w:fldCharType="separate"/>
            </w:r>
            <w:r w:rsidR="00ED57B1">
              <w:rPr>
                <w:noProof/>
                <w:webHidden/>
              </w:rPr>
              <w:t>72</w:t>
            </w:r>
            <w:r w:rsidR="00ED57B1">
              <w:rPr>
                <w:noProof/>
                <w:webHidden/>
              </w:rPr>
              <w:fldChar w:fldCharType="end"/>
            </w:r>
          </w:hyperlink>
        </w:p>
        <w:p w14:paraId="43484A97" w14:textId="53DF9CCC" w:rsidR="00ED57B1" w:rsidRDefault="007E54F3">
          <w:pPr>
            <w:pStyle w:val="TDC2"/>
            <w:tabs>
              <w:tab w:val="right" w:leader="dot" w:pos="9394"/>
            </w:tabs>
            <w:rPr>
              <w:rFonts w:asciiTheme="minorHAnsi" w:eastAsiaTheme="minorEastAsia" w:hAnsiTheme="minorHAnsi" w:cstheme="minorBidi"/>
              <w:noProof/>
              <w:lang w:val="es-419"/>
            </w:rPr>
          </w:pPr>
          <w:hyperlink w:anchor="_Toc57238650" w:history="1">
            <w:r w:rsidR="00ED57B1" w:rsidRPr="00EF07B2">
              <w:rPr>
                <w:rStyle w:val="Hipervnculo"/>
                <w:noProof/>
              </w:rPr>
              <w:t>5.1 Organizaciones locales sociedad civil y comunitarias.</w:t>
            </w:r>
            <w:r w:rsidR="00ED57B1">
              <w:rPr>
                <w:noProof/>
                <w:webHidden/>
              </w:rPr>
              <w:tab/>
            </w:r>
            <w:r w:rsidR="00ED57B1">
              <w:rPr>
                <w:noProof/>
                <w:webHidden/>
              </w:rPr>
              <w:fldChar w:fldCharType="begin"/>
            </w:r>
            <w:r w:rsidR="00ED57B1">
              <w:rPr>
                <w:noProof/>
                <w:webHidden/>
              </w:rPr>
              <w:instrText xml:space="preserve"> PAGEREF _Toc57238650 \h </w:instrText>
            </w:r>
            <w:r w:rsidR="00ED57B1">
              <w:rPr>
                <w:noProof/>
                <w:webHidden/>
              </w:rPr>
            </w:r>
            <w:r w:rsidR="00ED57B1">
              <w:rPr>
                <w:noProof/>
                <w:webHidden/>
              </w:rPr>
              <w:fldChar w:fldCharType="separate"/>
            </w:r>
            <w:r w:rsidR="00ED57B1">
              <w:rPr>
                <w:noProof/>
                <w:webHidden/>
              </w:rPr>
              <w:t>72</w:t>
            </w:r>
            <w:r w:rsidR="00ED57B1">
              <w:rPr>
                <w:noProof/>
                <w:webHidden/>
              </w:rPr>
              <w:fldChar w:fldCharType="end"/>
            </w:r>
          </w:hyperlink>
        </w:p>
        <w:p w14:paraId="47625A4C" w14:textId="0C5D0A88" w:rsidR="00ED57B1" w:rsidRDefault="007E54F3">
          <w:pPr>
            <w:pStyle w:val="TDC3"/>
            <w:tabs>
              <w:tab w:val="right" w:leader="dot" w:pos="9394"/>
            </w:tabs>
            <w:rPr>
              <w:rFonts w:asciiTheme="minorHAnsi" w:eastAsiaTheme="minorEastAsia" w:hAnsiTheme="minorHAnsi" w:cstheme="minorBidi"/>
              <w:noProof/>
              <w:lang w:val="es-419"/>
            </w:rPr>
          </w:pPr>
          <w:hyperlink w:anchor="_Toc57238651" w:history="1">
            <w:r w:rsidR="00ED57B1" w:rsidRPr="00EF07B2">
              <w:rPr>
                <w:rStyle w:val="Hipervnculo"/>
                <w:noProof/>
              </w:rPr>
              <w:t>5.1.1 Tipos de organizaciones en la localidad.</w:t>
            </w:r>
            <w:r w:rsidR="00ED57B1">
              <w:rPr>
                <w:noProof/>
                <w:webHidden/>
              </w:rPr>
              <w:tab/>
            </w:r>
            <w:r w:rsidR="00ED57B1">
              <w:rPr>
                <w:noProof/>
                <w:webHidden/>
              </w:rPr>
              <w:fldChar w:fldCharType="begin"/>
            </w:r>
            <w:r w:rsidR="00ED57B1">
              <w:rPr>
                <w:noProof/>
                <w:webHidden/>
              </w:rPr>
              <w:instrText xml:space="preserve"> PAGEREF _Toc57238651 \h </w:instrText>
            </w:r>
            <w:r w:rsidR="00ED57B1">
              <w:rPr>
                <w:noProof/>
                <w:webHidden/>
              </w:rPr>
            </w:r>
            <w:r w:rsidR="00ED57B1">
              <w:rPr>
                <w:noProof/>
                <w:webHidden/>
              </w:rPr>
              <w:fldChar w:fldCharType="separate"/>
            </w:r>
            <w:r w:rsidR="00ED57B1">
              <w:rPr>
                <w:noProof/>
                <w:webHidden/>
              </w:rPr>
              <w:t>72</w:t>
            </w:r>
            <w:r w:rsidR="00ED57B1">
              <w:rPr>
                <w:noProof/>
                <w:webHidden/>
              </w:rPr>
              <w:fldChar w:fldCharType="end"/>
            </w:r>
          </w:hyperlink>
        </w:p>
        <w:p w14:paraId="232EEE7A" w14:textId="4A64F948" w:rsidR="00ED57B1" w:rsidRDefault="007E54F3">
          <w:pPr>
            <w:pStyle w:val="TDC3"/>
            <w:tabs>
              <w:tab w:val="right" w:leader="dot" w:pos="9394"/>
            </w:tabs>
            <w:rPr>
              <w:rFonts w:asciiTheme="minorHAnsi" w:eastAsiaTheme="minorEastAsia" w:hAnsiTheme="minorHAnsi" w:cstheme="minorBidi"/>
              <w:noProof/>
              <w:lang w:val="es-419"/>
            </w:rPr>
          </w:pPr>
          <w:hyperlink w:anchor="_Toc57238652" w:history="1">
            <w:r w:rsidR="00ED57B1" w:rsidRPr="00EF07B2">
              <w:rPr>
                <w:rStyle w:val="Hipervnculo"/>
                <w:noProof/>
              </w:rPr>
              <w:t>5.1.2 Líneas temáticas.</w:t>
            </w:r>
            <w:r w:rsidR="00ED57B1">
              <w:rPr>
                <w:noProof/>
                <w:webHidden/>
              </w:rPr>
              <w:tab/>
            </w:r>
            <w:r w:rsidR="00ED57B1">
              <w:rPr>
                <w:noProof/>
                <w:webHidden/>
              </w:rPr>
              <w:fldChar w:fldCharType="begin"/>
            </w:r>
            <w:r w:rsidR="00ED57B1">
              <w:rPr>
                <w:noProof/>
                <w:webHidden/>
              </w:rPr>
              <w:instrText xml:space="preserve"> PAGEREF _Toc57238652 \h </w:instrText>
            </w:r>
            <w:r w:rsidR="00ED57B1">
              <w:rPr>
                <w:noProof/>
                <w:webHidden/>
              </w:rPr>
            </w:r>
            <w:r w:rsidR="00ED57B1">
              <w:rPr>
                <w:noProof/>
                <w:webHidden/>
              </w:rPr>
              <w:fldChar w:fldCharType="separate"/>
            </w:r>
            <w:r w:rsidR="00ED57B1">
              <w:rPr>
                <w:noProof/>
                <w:webHidden/>
              </w:rPr>
              <w:t>73</w:t>
            </w:r>
            <w:r w:rsidR="00ED57B1">
              <w:rPr>
                <w:noProof/>
                <w:webHidden/>
              </w:rPr>
              <w:fldChar w:fldCharType="end"/>
            </w:r>
          </w:hyperlink>
        </w:p>
        <w:p w14:paraId="5A7F8221" w14:textId="6D534FE1" w:rsidR="00ED57B1" w:rsidRDefault="007E54F3">
          <w:pPr>
            <w:pStyle w:val="TDC3"/>
            <w:tabs>
              <w:tab w:val="right" w:leader="dot" w:pos="9394"/>
            </w:tabs>
            <w:rPr>
              <w:rFonts w:asciiTheme="minorHAnsi" w:eastAsiaTheme="minorEastAsia" w:hAnsiTheme="minorHAnsi" w:cstheme="minorBidi"/>
              <w:noProof/>
              <w:lang w:val="es-419"/>
            </w:rPr>
          </w:pPr>
          <w:hyperlink w:anchor="_Toc57238653" w:history="1">
            <w:r w:rsidR="00ED57B1" w:rsidRPr="00EF07B2">
              <w:rPr>
                <w:rStyle w:val="Hipervnculo"/>
                <w:noProof/>
              </w:rPr>
              <w:t>5.1.3 Procesos de participación.</w:t>
            </w:r>
            <w:r w:rsidR="00ED57B1">
              <w:rPr>
                <w:noProof/>
                <w:webHidden/>
              </w:rPr>
              <w:tab/>
            </w:r>
            <w:r w:rsidR="00ED57B1">
              <w:rPr>
                <w:noProof/>
                <w:webHidden/>
              </w:rPr>
              <w:fldChar w:fldCharType="begin"/>
            </w:r>
            <w:r w:rsidR="00ED57B1">
              <w:rPr>
                <w:noProof/>
                <w:webHidden/>
              </w:rPr>
              <w:instrText xml:space="preserve"> PAGEREF _Toc57238653 \h </w:instrText>
            </w:r>
            <w:r w:rsidR="00ED57B1">
              <w:rPr>
                <w:noProof/>
                <w:webHidden/>
              </w:rPr>
            </w:r>
            <w:r w:rsidR="00ED57B1">
              <w:rPr>
                <w:noProof/>
                <w:webHidden/>
              </w:rPr>
              <w:fldChar w:fldCharType="separate"/>
            </w:r>
            <w:r w:rsidR="00ED57B1">
              <w:rPr>
                <w:noProof/>
                <w:webHidden/>
              </w:rPr>
              <w:t>74</w:t>
            </w:r>
            <w:r w:rsidR="00ED57B1">
              <w:rPr>
                <w:noProof/>
                <w:webHidden/>
              </w:rPr>
              <w:fldChar w:fldCharType="end"/>
            </w:r>
          </w:hyperlink>
        </w:p>
        <w:p w14:paraId="68B01496" w14:textId="01F018C3" w:rsidR="00ED57B1" w:rsidRDefault="007E54F3">
          <w:pPr>
            <w:pStyle w:val="TDC2"/>
            <w:tabs>
              <w:tab w:val="right" w:leader="dot" w:pos="9394"/>
            </w:tabs>
            <w:rPr>
              <w:rFonts w:asciiTheme="minorHAnsi" w:eastAsiaTheme="minorEastAsia" w:hAnsiTheme="minorHAnsi" w:cstheme="minorBidi"/>
              <w:noProof/>
              <w:lang w:val="es-419"/>
            </w:rPr>
          </w:pPr>
          <w:hyperlink w:anchor="_Toc57238654" w:history="1">
            <w:r w:rsidR="00ED57B1" w:rsidRPr="00EF07B2">
              <w:rPr>
                <w:rStyle w:val="Hipervnculo"/>
                <w:noProof/>
              </w:rPr>
              <w:t>5.2  Agricultura urbana.</w:t>
            </w:r>
            <w:r w:rsidR="00ED57B1">
              <w:rPr>
                <w:noProof/>
                <w:webHidden/>
              </w:rPr>
              <w:tab/>
            </w:r>
            <w:r w:rsidR="00ED57B1">
              <w:rPr>
                <w:noProof/>
                <w:webHidden/>
              </w:rPr>
              <w:fldChar w:fldCharType="begin"/>
            </w:r>
            <w:r w:rsidR="00ED57B1">
              <w:rPr>
                <w:noProof/>
                <w:webHidden/>
              </w:rPr>
              <w:instrText xml:space="preserve"> PAGEREF _Toc57238654 \h </w:instrText>
            </w:r>
            <w:r w:rsidR="00ED57B1">
              <w:rPr>
                <w:noProof/>
                <w:webHidden/>
              </w:rPr>
            </w:r>
            <w:r w:rsidR="00ED57B1">
              <w:rPr>
                <w:noProof/>
                <w:webHidden/>
              </w:rPr>
              <w:fldChar w:fldCharType="separate"/>
            </w:r>
            <w:r w:rsidR="00ED57B1">
              <w:rPr>
                <w:noProof/>
                <w:webHidden/>
              </w:rPr>
              <w:t>75</w:t>
            </w:r>
            <w:r w:rsidR="00ED57B1">
              <w:rPr>
                <w:noProof/>
                <w:webHidden/>
              </w:rPr>
              <w:fldChar w:fldCharType="end"/>
            </w:r>
          </w:hyperlink>
        </w:p>
        <w:p w14:paraId="4612AE36" w14:textId="0881F900" w:rsidR="00ED57B1" w:rsidRDefault="007E54F3">
          <w:pPr>
            <w:pStyle w:val="TDC2"/>
            <w:tabs>
              <w:tab w:val="right" w:leader="dot" w:pos="9394"/>
            </w:tabs>
            <w:rPr>
              <w:rFonts w:asciiTheme="minorHAnsi" w:eastAsiaTheme="minorEastAsia" w:hAnsiTheme="minorHAnsi" w:cstheme="minorBidi"/>
              <w:noProof/>
              <w:lang w:val="es-419"/>
            </w:rPr>
          </w:pPr>
          <w:hyperlink w:anchor="_Toc57238655" w:history="1">
            <w:r w:rsidR="00ED57B1" w:rsidRPr="00EF07B2">
              <w:rPr>
                <w:rStyle w:val="Hipervnculo"/>
                <w:noProof/>
              </w:rPr>
              <w:t>5.3   Empresas participantes en el Programa de Gestión Ambiental Empresarial.</w:t>
            </w:r>
            <w:r w:rsidR="00ED57B1">
              <w:rPr>
                <w:noProof/>
                <w:webHidden/>
              </w:rPr>
              <w:tab/>
            </w:r>
            <w:r w:rsidR="00ED57B1">
              <w:rPr>
                <w:noProof/>
                <w:webHidden/>
              </w:rPr>
              <w:fldChar w:fldCharType="begin"/>
            </w:r>
            <w:r w:rsidR="00ED57B1">
              <w:rPr>
                <w:noProof/>
                <w:webHidden/>
              </w:rPr>
              <w:instrText xml:space="preserve"> PAGEREF _Toc57238655 \h </w:instrText>
            </w:r>
            <w:r w:rsidR="00ED57B1">
              <w:rPr>
                <w:noProof/>
                <w:webHidden/>
              </w:rPr>
            </w:r>
            <w:r w:rsidR="00ED57B1">
              <w:rPr>
                <w:noProof/>
                <w:webHidden/>
              </w:rPr>
              <w:fldChar w:fldCharType="separate"/>
            </w:r>
            <w:r w:rsidR="00ED57B1">
              <w:rPr>
                <w:noProof/>
                <w:webHidden/>
              </w:rPr>
              <w:t>77</w:t>
            </w:r>
            <w:r w:rsidR="00ED57B1">
              <w:rPr>
                <w:noProof/>
                <w:webHidden/>
              </w:rPr>
              <w:fldChar w:fldCharType="end"/>
            </w:r>
          </w:hyperlink>
        </w:p>
        <w:p w14:paraId="55B220C9" w14:textId="575F79B6" w:rsidR="00ED57B1" w:rsidRDefault="007E54F3">
          <w:pPr>
            <w:pStyle w:val="TDC2"/>
            <w:tabs>
              <w:tab w:val="right" w:leader="dot" w:pos="9394"/>
            </w:tabs>
            <w:rPr>
              <w:rFonts w:asciiTheme="minorHAnsi" w:eastAsiaTheme="minorEastAsia" w:hAnsiTheme="minorHAnsi" w:cstheme="minorBidi"/>
              <w:noProof/>
              <w:lang w:val="es-419"/>
            </w:rPr>
          </w:pPr>
          <w:hyperlink w:anchor="_Toc57238656" w:history="1">
            <w:r w:rsidR="00ED57B1" w:rsidRPr="00EF07B2">
              <w:rPr>
                <w:rStyle w:val="Hipervnculo"/>
                <w:noProof/>
              </w:rPr>
              <w:t>5.4 Empresas Forestales Registradas Ante la Secretaría Distrital de Ambiente.</w:t>
            </w:r>
            <w:r w:rsidR="00ED57B1">
              <w:rPr>
                <w:noProof/>
                <w:webHidden/>
              </w:rPr>
              <w:tab/>
            </w:r>
            <w:r w:rsidR="00ED57B1">
              <w:rPr>
                <w:noProof/>
                <w:webHidden/>
              </w:rPr>
              <w:fldChar w:fldCharType="begin"/>
            </w:r>
            <w:r w:rsidR="00ED57B1">
              <w:rPr>
                <w:noProof/>
                <w:webHidden/>
              </w:rPr>
              <w:instrText xml:space="preserve"> PAGEREF _Toc57238656 \h </w:instrText>
            </w:r>
            <w:r w:rsidR="00ED57B1">
              <w:rPr>
                <w:noProof/>
                <w:webHidden/>
              </w:rPr>
            </w:r>
            <w:r w:rsidR="00ED57B1">
              <w:rPr>
                <w:noProof/>
                <w:webHidden/>
              </w:rPr>
              <w:fldChar w:fldCharType="separate"/>
            </w:r>
            <w:r w:rsidR="00ED57B1">
              <w:rPr>
                <w:noProof/>
                <w:webHidden/>
              </w:rPr>
              <w:t>78</w:t>
            </w:r>
            <w:r w:rsidR="00ED57B1">
              <w:rPr>
                <w:noProof/>
                <w:webHidden/>
              </w:rPr>
              <w:fldChar w:fldCharType="end"/>
            </w:r>
          </w:hyperlink>
        </w:p>
        <w:p w14:paraId="2DA0B0B0" w14:textId="4F98782E" w:rsidR="00ED57B1" w:rsidRDefault="007E54F3" w:rsidP="00ED57B1">
          <w:pPr>
            <w:pStyle w:val="TDC1"/>
            <w:rPr>
              <w:rFonts w:asciiTheme="minorHAnsi" w:eastAsiaTheme="minorEastAsia" w:hAnsiTheme="minorHAnsi" w:cstheme="minorBidi"/>
              <w:noProof/>
              <w:lang w:val="es-419"/>
            </w:rPr>
          </w:pPr>
          <w:hyperlink w:anchor="_Toc57238657" w:history="1">
            <w:r w:rsidR="00ED57B1" w:rsidRPr="00EF07B2">
              <w:rPr>
                <w:rStyle w:val="Hipervnculo"/>
                <w:noProof/>
              </w:rPr>
              <w:t>Bibliografía.</w:t>
            </w:r>
            <w:r w:rsidR="00ED57B1">
              <w:rPr>
                <w:noProof/>
                <w:webHidden/>
              </w:rPr>
              <w:tab/>
            </w:r>
            <w:r w:rsidR="00ED57B1">
              <w:rPr>
                <w:noProof/>
                <w:webHidden/>
              </w:rPr>
              <w:fldChar w:fldCharType="begin"/>
            </w:r>
            <w:r w:rsidR="00ED57B1">
              <w:rPr>
                <w:noProof/>
                <w:webHidden/>
              </w:rPr>
              <w:instrText xml:space="preserve"> PAGEREF _Toc57238657 \h </w:instrText>
            </w:r>
            <w:r w:rsidR="00ED57B1">
              <w:rPr>
                <w:noProof/>
                <w:webHidden/>
              </w:rPr>
            </w:r>
            <w:r w:rsidR="00ED57B1">
              <w:rPr>
                <w:noProof/>
                <w:webHidden/>
              </w:rPr>
              <w:fldChar w:fldCharType="separate"/>
            </w:r>
            <w:r w:rsidR="00ED57B1">
              <w:rPr>
                <w:noProof/>
                <w:webHidden/>
              </w:rPr>
              <w:t>79</w:t>
            </w:r>
            <w:r w:rsidR="00ED57B1">
              <w:rPr>
                <w:noProof/>
                <w:webHidden/>
              </w:rPr>
              <w:fldChar w:fldCharType="end"/>
            </w:r>
          </w:hyperlink>
        </w:p>
        <w:p w14:paraId="7FB78FDC" w14:textId="08A71879" w:rsidR="00F40A9E" w:rsidRDefault="00F40A9E" w:rsidP="00C14143">
          <w:pPr>
            <w:spacing w:line="240" w:lineRule="auto"/>
          </w:pPr>
          <w:r w:rsidRPr="00C14143">
            <w:rPr>
              <w:rFonts w:cs="Arial"/>
              <w:b/>
              <w:bCs/>
              <w:sz w:val="24"/>
              <w:szCs w:val="24"/>
            </w:rPr>
            <w:fldChar w:fldCharType="end"/>
          </w:r>
        </w:p>
      </w:sdtContent>
    </w:sdt>
    <w:p w14:paraId="5C5860B8" w14:textId="77777777" w:rsidR="000B2E69" w:rsidRDefault="000B2E69" w:rsidP="00D11B68">
      <w:pPr>
        <w:spacing w:after="0" w:line="240" w:lineRule="auto"/>
        <w:ind w:left="709" w:firstLine="0"/>
      </w:pPr>
    </w:p>
    <w:p w14:paraId="16FFBF29" w14:textId="149C3B9E" w:rsidR="00FD2E27" w:rsidRDefault="00FD2E27"/>
    <w:p w14:paraId="4C18B285" w14:textId="77777777" w:rsidR="00B20FC6" w:rsidRDefault="00B20FC6">
      <w:pPr>
        <w:sectPr w:rsidR="00B20FC6" w:rsidSect="00363BC5">
          <w:footerReference w:type="default" r:id="rId11"/>
          <w:pgSz w:w="12240" w:h="15840"/>
          <w:pgMar w:top="1418" w:right="1418" w:bottom="1418" w:left="1418" w:header="709" w:footer="709" w:gutter="0"/>
          <w:pgNumType w:start="4"/>
          <w:cols w:space="720"/>
        </w:sectPr>
      </w:pPr>
    </w:p>
    <w:p w14:paraId="7D00C382" w14:textId="26DB777A" w:rsidR="003B2575" w:rsidRDefault="00E05275" w:rsidP="003B2575">
      <w:pPr>
        <w:spacing w:after="160" w:line="259" w:lineRule="auto"/>
        <w:ind w:firstLine="0"/>
        <w:rPr>
          <w:noProof/>
        </w:rPr>
      </w:pPr>
      <w:r w:rsidRPr="003B2575">
        <w:rPr>
          <w:b/>
          <w:bCs/>
        </w:rPr>
        <w:lastRenderedPageBreak/>
        <w:t>TABLA DE ILUSTRACIONES</w:t>
      </w:r>
      <w:r w:rsidR="003B2575">
        <w:t>.</w:t>
      </w:r>
      <w:r w:rsidR="003B2575">
        <w:fldChar w:fldCharType="begin"/>
      </w:r>
      <w:r w:rsidR="003B2575">
        <w:instrText xml:space="preserve"> TOC \h \z \c "Ilustración" </w:instrText>
      </w:r>
      <w:r w:rsidR="003B2575">
        <w:fldChar w:fldCharType="separate"/>
      </w:r>
    </w:p>
    <w:p w14:paraId="21593D00" w14:textId="45C70D16" w:rsidR="003B2575" w:rsidRDefault="007E54F3">
      <w:pPr>
        <w:pStyle w:val="Tabladeilustraciones"/>
        <w:tabs>
          <w:tab w:val="right" w:leader="dot" w:pos="9394"/>
        </w:tabs>
        <w:rPr>
          <w:rFonts w:asciiTheme="minorHAnsi" w:eastAsiaTheme="minorEastAsia" w:hAnsiTheme="minorHAnsi" w:cstheme="minorBidi"/>
          <w:noProof/>
          <w:lang w:val="es-419"/>
        </w:rPr>
      </w:pPr>
      <w:hyperlink r:id="rId12" w:anchor="_Toc57223719" w:history="1">
        <w:r w:rsidR="003B2575" w:rsidRPr="00962086">
          <w:rPr>
            <w:rStyle w:val="Hipervnculo"/>
            <w:noProof/>
          </w:rPr>
          <w:t>Ilustración 1.Clasificación del suelo.</w:t>
        </w:r>
        <w:r w:rsidR="003B2575">
          <w:rPr>
            <w:noProof/>
            <w:webHidden/>
          </w:rPr>
          <w:tab/>
        </w:r>
        <w:r w:rsidR="003B2575">
          <w:rPr>
            <w:noProof/>
            <w:webHidden/>
          </w:rPr>
          <w:fldChar w:fldCharType="begin"/>
        </w:r>
        <w:r w:rsidR="003B2575">
          <w:rPr>
            <w:noProof/>
            <w:webHidden/>
          </w:rPr>
          <w:instrText xml:space="preserve"> PAGEREF _Toc57223719 \h </w:instrText>
        </w:r>
        <w:r w:rsidR="003B2575">
          <w:rPr>
            <w:noProof/>
            <w:webHidden/>
          </w:rPr>
        </w:r>
        <w:r w:rsidR="003B2575">
          <w:rPr>
            <w:noProof/>
            <w:webHidden/>
          </w:rPr>
          <w:fldChar w:fldCharType="separate"/>
        </w:r>
        <w:r w:rsidR="003B2575">
          <w:rPr>
            <w:noProof/>
            <w:webHidden/>
          </w:rPr>
          <w:t>8</w:t>
        </w:r>
        <w:r w:rsidR="003B2575">
          <w:rPr>
            <w:noProof/>
            <w:webHidden/>
          </w:rPr>
          <w:fldChar w:fldCharType="end"/>
        </w:r>
      </w:hyperlink>
    </w:p>
    <w:p w14:paraId="7785FCB1" w14:textId="3A3F466E" w:rsidR="003B2575" w:rsidRDefault="007E54F3">
      <w:pPr>
        <w:pStyle w:val="Tabladeilustraciones"/>
        <w:tabs>
          <w:tab w:val="right" w:leader="dot" w:pos="9394"/>
        </w:tabs>
        <w:rPr>
          <w:rFonts w:asciiTheme="minorHAnsi" w:eastAsiaTheme="minorEastAsia" w:hAnsiTheme="minorHAnsi" w:cstheme="minorBidi"/>
          <w:noProof/>
          <w:lang w:val="es-419"/>
        </w:rPr>
      </w:pPr>
      <w:hyperlink r:id="rId13" w:anchor="_Toc57223720" w:history="1">
        <w:r w:rsidR="003B2575" w:rsidRPr="00962086">
          <w:rPr>
            <w:rStyle w:val="Hipervnculo"/>
            <w:noProof/>
          </w:rPr>
          <w:t>Ilustración 2. Actividades de Educación en el el marco de las situaciones Ambientales Conflictivas.</w:t>
        </w:r>
        <w:r w:rsidR="003B2575">
          <w:rPr>
            <w:noProof/>
            <w:webHidden/>
          </w:rPr>
          <w:tab/>
        </w:r>
        <w:r w:rsidR="003B2575">
          <w:rPr>
            <w:noProof/>
            <w:webHidden/>
          </w:rPr>
          <w:fldChar w:fldCharType="begin"/>
        </w:r>
        <w:r w:rsidR="003B2575">
          <w:rPr>
            <w:noProof/>
            <w:webHidden/>
          </w:rPr>
          <w:instrText xml:space="preserve"> PAGEREF _Toc57223720 \h </w:instrText>
        </w:r>
        <w:r w:rsidR="003B2575">
          <w:rPr>
            <w:noProof/>
            <w:webHidden/>
          </w:rPr>
        </w:r>
        <w:r w:rsidR="003B2575">
          <w:rPr>
            <w:noProof/>
            <w:webHidden/>
          </w:rPr>
          <w:fldChar w:fldCharType="separate"/>
        </w:r>
        <w:r w:rsidR="003B2575">
          <w:rPr>
            <w:noProof/>
            <w:webHidden/>
          </w:rPr>
          <w:t>27</w:t>
        </w:r>
        <w:r w:rsidR="003B2575">
          <w:rPr>
            <w:noProof/>
            <w:webHidden/>
          </w:rPr>
          <w:fldChar w:fldCharType="end"/>
        </w:r>
      </w:hyperlink>
    </w:p>
    <w:p w14:paraId="6A3C0E61" w14:textId="1A831244" w:rsidR="003B2575" w:rsidRDefault="007E54F3">
      <w:pPr>
        <w:pStyle w:val="Tabladeilustraciones"/>
        <w:tabs>
          <w:tab w:val="right" w:leader="dot" w:pos="9394"/>
        </w:tabs>
        <w:rPr>
          <w:rFonts w:asciiTheme="minorHAnsi" w:eastAsiaTheme="minorEastAsia" w:hAnsiTheme="minorHAnsi" w:cstheme="minorBidi"/>
          <w:noProof/>
          <w:lang w:val="es-419"/>
        </w:rPr>
      </w:pPr>
      <w:hyperlink w:anchor="_Toc57223721" w:history="1">
        <w:r w:rsidR="003B2575" w:rsidRPr="00962086">
          <w:rPr>
            <w:rStyle w:val="Hipervnculo"/>
            <w:noProof/>
          </w:rPr>
          <w:t>Ilustración 3. Micro-ruta de Recolección</w:t>
        </w:r>
        <w:r w:rsidR="003B2575">
          <w:rPr>
            <w:noProof/>
            <w:webHidden/>
          </w:rPr>
          <w:tab/>
        </w:r>
        <w:r w:rsidR="003B2575">
          <w:rPr>
            <w:noProof/>
            <w:webHidden/>
          </w:rPr>
          <w:fldChar w:fldCharType="begin"/>
        </w:r>
        <w:r w:rsidR="003B2575">
          <w:rPr>
            <w:noProof/>
            <w:webHidden/>
          </w:rPr>
          <w:instrText xml:space="preserve"> PAGEREF _Toc57223721 \h </w:instrText>
        </w:r>
        <w:r w:rsidR="003B2575">
          <w:rPr>
            <w:noProof/>
            <w:webHidden/>
          </w:rPr>
        </w:r>
        <w:r w:rsidR="003B2575">
          <w:rPr>
            <w:noProof/>
            <w:webHidden/>
          </w:rPr>
          <w:fldChar w:fldCharType="separate"/>
        </w:r>
        <w:r w:rsidR="003B2575">
          <w:rPr>
            <w:noProof/>
            <w:webHidden/>
          </w:rPr>
          <w:t>42</w:t>
        </w:r>
        <w:r w:rsidR="003B2575">
          <w:rPr>
            <w:noProof/>
            <w:webHidden/>
          </w:rPr>
          <w:fldChar w:fldCharType="end"/>
        </w:r>
      </w:hyperlink>
    </w:p>
    <w:p w14:paraId="1D0097A7" w14:textId="6F76C53D" w:rsidR="003B2575" w:rsidRDefault="007E54F3">
      <w:pPr>
        <w:pStyle w:val="Tabladeilustraciones"/>
        <w:tabs>
          <w:tab w:val="right" w:leader="dot" w:pos="9394"/>
        </w:tabs>
        <w:rPr>
          <w:rFonts w:asciiTheme="minorHAnsi" w:eastAsiaTheme="minorEastAsia" w:hAnsiTheme="minorHAnsi" w:cstheme="minorBidi"/>
          <w:noProof/>
          <w:lang w:val="es-419"/>
        </w:rPr>
      </w:pPr>
      <w:hyperlink w:anchor="_Toc57223722" w:history="1">
        <w:r w:rsidR="003B2575" w:rsidRPr="00962086">
          <w:rPr>
            <w:rStyle w:val="Hipervnculo"/>
            <w:noProof/>
          </w:rPr>
          <w:t>Ilustración 4.  Distribución espacial de los p promedios anuales de PM10 del año 2018 con base en el método de interpolación Kriging</w:t>
        </w:r>
        <w:r w:rsidR="003B2575">
          <w:rPr>
            <w:noProof/>
            <w:webHidden/>
          </w:rPr>
          <w:tab/>
        </w:r>
        <w:r w:rsidR="003B2575">
          <w:rPr>
            <w:noProof/>
            <w:webHidden/>
          </w:rPr>
          <w:fldChar w:fldCharType="begin"/>
        </w:r>
        <w:r w:rsidR="003B2575">
          <w:rPr>
            <w:noProof/>
            <w:webHidden/>
          </w:rPr>
          <w:instrText xml:space="preserve"> PAGEREF _Toc57223722 \h </w:instrText>
        </w:r>
        <w:r w:rsidR="003B2575">
          <w:rPr>
            <w:noProof/>
            <w:webHidden/>
          </w:rPr>
        </w:r>
        <w:r w:rsidR="003B2575">
          <w:rPr>
            <w:noProof/>
            <w:webHidden/>
          </w:rPr>
          <w:fldChar w:fldCharType="separate"/>
        </w:r>
        <w:r w:rsidR="003B2575">
          <w:rPr>
            <w:noProof/>
            <w:webHidden/>
          </w:rPr>
          <w:t>50</w:t>
        </w:r>
        <w:r w:rsidR="003B2575">
          <w:rPr>
            <w:noProof/>
            <w:webHidden/>
          </w:rPr>
          <w:fldChar w:fldCharType="end"/>
        </w:r>
      </w:hyperlink>
    </w:p>
    <w:p w14:paraId="3AC6912C" w14:textId="7B0F5958" w:rsidR="003B2575" w:rsidRDefault="007E54F3">
      <w:pPr>
        <w:pStyle w:val="Tabladeilustraciones"/>
        <w:tabs>
          <w:tab w:val="right" w:leader="dot" w:pos="9394"/>
        </w:tabs>
        <w:rPr>
          <w:rFonts w:asciiTheme="minorHAnsi" w:eastAsiaTheme="minorEastAsia" w:hAnsiTheme="minorHAnsi" w:cstheme="minorBidi"/>
          <w:noProof/>
          <w:lang w:val="es-419"/>
        </w:rPr>
      </w:pPr>
      <w:hyperlink w:anchor="_Toc57223723" w:history="1">
        <w:r w:rsidR="003B2575" w:rsidRPr="00962086">
          <w:rPr>
            <w:rStyle w:val="Hipervnculo"/>
            <w:noProof/>
          </w:rPr>
          <w:t>Ilustración 5. Distribución espacial de los p promedios anuales de PM10 del año 2019 con base en el método de interpolación Kriging</w:t>
        </w:r>
        <w:r w:rsidR="003B2575">
          <w:rPr>
            <w:noProof/>
            <w:webHidden/>
          </w:rPr>
          <w:tab/>
        </w:r>
        <w:r w:rsidR="003B2575">
          <w:rPr>
            <w:noProof/>
            <w:webHidden/>
          </w:rPr>
          <w:fldChar w:fldCharType="begin"/>
        </w:r>
        <w:r w:rsidR="003B2575">
          <w:rPr>
            <w:noProof/>
            <w:webHidden/>
          </w:rPr>
          <w:instrText xml:space="preserve"> PAGEREF _Toc57223723 \h </w:instrText>
        </w:r>
        <w:r w:rsidR="003B2575">
          <w:rPr>
            <w:noProof/>
            <w:webHidden/>
          </w:rPr>
        </w:r>
        <w:r w:rsidR="003B2575">
          <w:rPr>
            <w:noProof/>
            <w:webHidden/>
          </w:rPr>
          <w:fldChar w:fldCharType="separate"/>
        </w:r>
        <w:r w:rsidR="003B2575">
          <w:rPr>
            <w:noProof/>
            <w:webHidden/>
          </w:rPr>
          <w:t>52</w:t>
        </w:r>
        <w:r w:rsidR="003B2575">
          <w:rPr>
            <w:noProof/>
            <w:webHidden/>
          </w:rPr>
          <w:fldChar w:fldCharType="end"/>
        </w:r>
      </w:hyperlink>
    </w:p>
    <w:p w14:paraId="6EBC24F7" w14:textId="53B4F89A" w:rsidR="003B2575" w:rsidRDefault="007E54F3">
      <w:pPr>
        <w:pStyle w:val="Tabladeilustraciones"/>
        <w:tabs>
          <w:tab w:val="right" w:leader="dot" w:pos="9394"/>
        </w:tabs>
        <w:rPr>
          <w:rFonts w:asciiTheme="minorHAnsi" w:eastAsiaTheme="minorEastAsia" w:hAnsiTheme="minorHAnsi" w:cstheme="minorBidi"/>
          <w:noProof/>
          <w:lang w:val="es-419"/>
        </w:rPr>
      </w:pPr>
      <w:hyperlink w:anchor="_Toc57223724" w:history="1">
        <w:r w:rsidR="003B2575" w:rsidRPr="00962086">
          <w:rPr>
            <w:rStyle w:val="Hipervnculo"/>
            <w:noProof/>
          </w:rPr>
          <w:t>Ilustración 6.Distribución espacio temporal  de PM 2.5 para Fuentes Móviles</w:t>
        </w:r>
        <w:r w:rsidR="003B2575">
          <w:rPr>
            <w:noProof/>
            <w:webHidden/>
          </w:rPr>
          <w:tab/>
        </w:r>
        <w:r w:rsidR="003B2575">
          <w:rPr>
            <w:noProof/>
            <w:webHidden/>
          </w:rPr>
          <w:fldChar w:fldCharType="begin"/>
        </w:r>
        <w:r w:rsidR="003B2575">
          <w:rPr>
            <w:noProof/>
            <w:webHidden/>
          </w:rPr>
          <w:instrText xml:space="preserve"> PAGEREF _Toc57223724 \h </w:instrText>
        </w:r>
        <w:r w:rsidR="003B2575">
          <w:rPr>
            <w:noProof/>
            <w:webHidden/>
          </w:rPr>
        </w:r>
        <w:r w:rsidR="003B2575">
          <w:rPr>
            <w:noProof/>
            <w:webHidden/>
          </w:rPr>
          <w:fldChar w:fldCharType="separate"/>
        </w:r>
        <w:r w:rsidR="003B2575">
          <w:rPr>
            <w:noProof/>
            <w:webHidden/>
          </w:rPr>
          <w:t>54</w:t>
        </w:r>
        <w:r w:rsidR="003B2575">
          <w:rPr>
            <w:noProof/>
            <w:webHidden/>
          </w:rPr>
          <w:fldChar w:fldCharType="end"/>
        </w:r>
      </w:hyperlink>
    </w:p>
    <w:p w14:paraId="42E30BB8" w14:textId="61367520" w:rsidR="003B2575" w:rsidRDefault="007E54F3">
      <w:pPr>
        <w:pStyle w:val="Tabladeilustraciones"/>
        <w:tabs>
          <w:tab w:val="right" w:leader="dot" w:pos="9394"/>
        </w:tabs>
        <w:rPr>
          <w:rFonts w:asciiTheme="minorHAnsi" w:eastAsiaTheme="minorEastAsia" w:hAnsiTheme="minorHAnsi" w:cstheme="minorBidi"/>
          <w:noProof/>
          <w:lang w:val="es-419"/>
        </w:rPr>
      </w:pPr>
      <w:hyperlink w:anchor="_Toc57223725" w:history="1">
        <w:r w:rsidR="003B2575" w:rsidRPr="00962086">
          <w:rPr>
            <w:rStyle w:val="Hipervnculo"/>
            <w:noProof/>
          </w:rPr>
          <w:t>Ilustración 7.Distribución espacio temporal de PM10 para fuentes móviles.</w:t>
        </w:r>
        <w:r w:rsidR="003B2575">
          <w:rPr>
            <w:noProof/>
            <w:webHidden/>
          </w:rPr>
          <w:tab/>
        </w:r>
        <w:r w:rsidR="003B2575">
          <w:rPr>
            <w:noProof/>
            <w:webHidden/>
          </w:rPr>
          <w:fldChar w:fldCharType="begin"/>
        </w:r>
        <w:r w:rsidR="003B2575">
          <w:rPr>
            <w:noProof/>
            <w:webHidden/>
          </w:rPr>
          <w:instrText xml:space="preserve"> PAGEREF _Toc57223725 \h </w:instrText>
        </w:r>
        <w:r w:rsidR="003B2575">
          <w:rPr>
            <w:noProof/>
            <w:webHidden/>
          </w:rPr>
        </w:r>
        <w:r w:rsidR="003B2575">
          <w:rPr>
            <w:noProof/>
            <w:webHidden/>
          </w:rPr>
          <w:fldChar w:fldCharType="separate"/>
        </w:r>
        <w:r w:rsidR="003B2575">
          <w:rPr>
            <w:noProof/>
            <w:webHidden/>
          </w:rPr>
          <w:t>55</w:t>
        </w:r>
        <w:r w:rsidR="003B2575">
          <w:rPr>
            <w:noProof/>
            <w:webHidden/>
          </w:rPr>
          <w:fldChar w:fldCharType="end"/>
        </w:r>
      </w:hyperlink>
    </w:p>
    <w:p w14:paraId="1B457294" w14:textId="5D9FA958" w:rsidR="003B2575" w:rsidRDefault="007E54F3">
      <w:pPr>
        <w:pStyle w:val="Tabladeilustraciones"/>
        <w:tabs>
          <w:tab w:val="right" w:leader="dot" w:pos="9394"/>
        </w:tabs>
        <w:rPr>
          <w:rFonts w:asciiTheme="minorHAnsi" w:eastAsiaTheme="minorEastAsia" w:hAnsiTheme="minorHAnsi" w:cstheme="minorBidi"/>
          <w:noProof/>
          <w:lang w:val="es-419"/>
        </w:rPr>
      </w:pPr>
      <w:hyperlink w:anchor="_Toc57223726" w:history="1">
        <w:r w:rsidR="003B2575" w:rsidRPr="00962086">
          <w:rPr>
            <w:rStyle w:val="Hipervnculo"/>
            <w:noProof/>
          </w:rPr>
          <w:t>Ilustración 8.Distribución espacio temporal de CO para Fuentes Móviles</w:t>
        </w:r>
        <w:r w:rsidR="003B2575">
          <w:rPr>
            <w:noProof/>
            <w:webHidden/>
          </w:rPr>
          <w:tab/>
        </w:r>
        <w:r w:rsidR="003B2575">
          <w:rPr>
            <w:noProof/>
            <w:webHidden/>
          </w:rPr>
          <w:fldChar w:fldCharType="begin"/>
        </w:r>
        <w:r w:rsidR="003B2575">
          <w:rPr>
            <w:noProof/>
            <w:webHidden/>
          </w:rPr>
          <w:instrText xml:space="preserve"> PAGEREF _Toc57223726 \h </w:instrText>
        </w:r>
        <w:r w:rsidR="003B2575">
          <w:rPr>
            <w:noProof/>
            <w:webHidden/>
          </w:rPr>
        </w:r>
        <w:r w:rsidR="003B2575">
          <w:rPr>
            <w:noProof/>
            <w:webHidden/>
          </w:rPr>
          <w:fldChar w:fldCharType="separate"/>
        </w:r>
        <w:r w:rsidR="003B2575">
          <w:rPr>
            <w:noProof/>
            <w:webHidden/>
          </w:rPr>
          <w:t>55</w:t>
        </w:r>
        <w:r w:rsidR="003B2575">
          <w:rPr>
            <w:noProof/>
            <w:webHidden/>
          </w:rPr>
          <w:fldChar w:fldCharType="end"/>
        </w:r>
      </w:hyperlink>
    </w:p>
    <w:p w14:paraId="52495E59" w14:textId="335AA9BC" w:rsidR="003B2575" w:rsidRDefault="007E54F3">
      <w:pPr>
        <w:pStyle w:val="Tabladeilustraciones"/>
        <w:tabs>
          <w:tab w:val="right" w:leader="dot" w:pos="9394"/>
        </w:tabs>
        <w:rPr>
          <w:rFonts w:asciiTheme="minorHAnsi" w:eastAsiaTheme="minorEastAsia" w:hAnsiTheme="minorHAnsi" w:cstheme="minorBidi"/>
          <w:noProof/>
          <w:lang w:val="es-419"/>
        </w:rPr>
      </w:pPr>
      <w:hyperlink w:anchor="_Toc57223727" w:history="1">
        <w:r w:rsidR="003B2575" w:rsidRPr="00962086">
          <w:rPr>
            <w:rStyle w:val="Hipervnculo"/>
            <w:noProof/>
          </w:rPr>
          <w:t>Ilustración 9.Distribución espacio temporal de NOx para Fuentes Móviles</w:t>
        </w:r>
        <w:r w:rsidR="003B2575">
          <w:rPr>
            <w:noProof/>
            <w:webHidden/>
          </w:rPr>
          <w:tab/>
        </w:r>
        <w:r w:rsidR="003B2575">
          <w:rPr>
            <w:noProof/>
            <w:webHidden/>
          </w:rPr>
          <w:fldChar w:fldCharType="begin"/>
        </w:r>
        <w:r w:rsidR="003B2575">
          <w:rPr>
            <w:noProof/>
            <w:webHidden/>
          </w:rPr>
          <w:instrText xml:space="preserve"> PAGEREF _Toc57223727 \h </w:instrText>
        </w:r>
        <w:r w:rsidR="003B2575">
          <w:rPr>
            <w:noProof/>
            <w:webHidden/>
          </w:rPr>
        </w:r>
        <w:r w:rsidR="003B2575">
          <w:rPr>
            <w:noProof/>
            <w:webHidden/>
          </w:rPr>
          <w:fldChar w:fldCharType="separate"/>
        </w:r>
        <w:r w:rsidR="003B2575">
          <w:rPr>
            <w:noProof/>
            <w:webHidden/>
          </w:rPr>
          <w:t>56</w:t>
        </w:r>
        <w:r w:rsidR="003B2575">
          <w:rPr>
            <w:noProof/>
            <w:webHidden/>
          </w:rPr>
          <w:fldChar w:fldCharType="end"/>
        </w:r>
      </w:hyperlink>
    </w:p>
    <w:p w14:paraId="63B55A37" w14:textId="731423E3" w:rsidR="003B2575" w:rsidRDefault="007E54F3">
      <w:pPr>
        <w:pStyle w:val="Tabladeilustraciones"/>
        <w:tabs>
          <w:tab w:val="right" w:leader="dot" w:pos="9394"/>
        </w:tabs>
        <w:rPr>
          <w:rFonts w:asciiTheme="minorHAnsi" w:eastAsiaTheme="minorEastAsia" w:hAnsiTheme="minorHAnsi" w:cstheme="minorBidi"/>
          <w:noProof/>
          <w:lang w:val="es-419"/>
        </w:rPr>
      </w:pPr>
      <w:hyperlink r:id="rId14" w:anchor="_Toc57223728" w:history="1">
        <w:r w:rsidR="003B2575" w:rsidRPr="00962086">
          <w:rPr>
            <w:rStyle w:val="Hipervnculo"/>
            <w:noProof/>
          </w:rPr>
          <w:t>Ilustración 10.Distribución espacio temporal l de SO2 para Fuentes Móviles</w:t>
        </w:r>
        <w:r w:rsidR="003B2575">
          <w:rPr>
            <w:noProof/>
            <w:webHidden/>
          </w:rPr>
          <w:tab/>
        </w:r>
        <w:r w:rsidR="003B2575">
          <w:rPr>
            <w:noProof/>
            <w:webHidden/>
          </w:rPr>
          <w:fldChar w:fldCharType="begin"/>
        </w:r>
        <w:r w:rsidR="003B2575">
          <w:rPr>
            <w:noProof/>
            <w:webHidden/>
          </w:rPr>
          <w:instrText xml:space="preserve"> PAGEREF _Toc57223728 \h </w:instrText>
        </w:r>
        <w:r w:rsidR="003B2575">
          <w:rPr>
            <w:noProof/>
            <w:webHidden/>
          </w:rPr>
        </w:r>
        <w:r w:rsidR="003B2575">
          <w:rPr>
            <w:noProof/>
            <w:webHidden/>
          </w:rPr>
          <w:fldChar w:fldCharType="separate"/>
        </w:r>
        <w:r w:rsidR="003B2575">
          <w:rPr>
            <w:noProof/>
            <w:webHidden/>
          </w:rPr>
          <w:t>56</w:t>
        </w:r>
        <w:r w:rsidR="003B2575">
          <w:rPr>
            <w:noProof/>
            <w:webHidden/>
          </w:rPr>
          <w:fldChar w:fldCharType="end"/>
        </w:r>
      </w:hyperlink>
    </w:p>
    <w:p w14:paraId="3F52E0AC" w14:textId="4CC81B57" w:rsidR="003B2575" w:rsidRDefault="007E54F3">
      <w:pPr>
        <w:pStyle w:val="Tabladeilustraciones"/>
        <w:tabs>
          <w:tab w:val="right" w:leader="dot" w:pos="9394"/>
        </w:tabs>
        <w:rPr>
          <w:rFonts w:asciiTheme="minorHAnsi" w:eastAsiaTheme="minorEastAsia" w:hAnsiTheme="minorHAnsi" w:cstheme="minorBidi"/>
          <w:noProof/>
          <w:lang w:val="es-419"/>
        </w:rPr>
      </w:pPr>
      <w:hyperlink r:id="rId15" w:anchor="_Toc57223729" w:history="1">
        <w:r w:rsidR="003B2575" w:rsidRPr="00962086">
          <w:rPr>
            <w:rStyle w:val="Hipervnculo"/>
            <w:noProof/>
          </w:rPr>
          <w:t>Ilustración 11.Mapa de distribución espacial de la precipitación en la ciudad de Bogotá RMCAB 2019</w:t>
        </w:r>
        <w:r w:rsidR="003B2575">
          <w:rPr>
            <w:noProof/>
            <w:webHidden/>
          </w:rPr>
          <w:tab/>
        </w:r>
        <w:r w:rsidR="003B2575">
          <w:rPr>
            <w:noProof/>
            <w:webHidden/>
          </w:rPr>
          <w:fldChar w:fldCharType="begin"/>
        </w:r>
        <w:r w:rsidR="003B2575">
          <w:rPr>
            <w:noProof/>
            <w:webHidden/>
          </w:rPr>
          <w:instrText xml:space="preserve"> PAGEREF _Toc57223729 \h </w:instrText>
        </w:r>
        <w:r w:rsidR="003B2575">
          <w:rPr>
            <w:noProof/>
            <w:webHidden/>
          </w:rPr>
        </w:r>
        <w:r w:rsidR="003B2575">
          <w:rPr>
            <w:noProof/>
            <w:webHidden/>
          </w:rPr>
          <w:fldChar w:fldCharType="separate"/>
        </w:r>
        <w:r w:rsidR="003B2575">
          <w:rPr>
            <w:noProof/>
            <w:webHidden/>
          </w:rPr>
          <w:t>61</w:t>
        </w:r>
        <w:r w:rsidR="003B2575">
          <w:rPr>
            <w:noProof/>
            <w:webHidden/>
          </w:rPr>
          <w:fldChar w:fldCharType="end"/>
        </w:r>
      </w:hyperlink>
    </w:p>
    <w:p w14:paraId="69820784" w14:textId="4ACE5E2A" w:rsidR="003B2575" w:rsidRDefault="007E54F3">
      <w:pPr>
        <w:pStyle w:val="Tabladeilustraciones"/>
        <w:tabs>
          <w:tab w:val="right" w:leader="dot" w:pos="9394"/>
        </w:tabs>
        <w:rPr>
          <w:rFonts w:asciiTheme="minorHAnsi" w:eastAsiaTheme="minorEastAsia" w:hAnsiTheme="minorHAnsi" w:cstheme="minorBidi"/>
          <w:noProof/>
          <w:lang w:val="es-419"/>
        </w:rPr>
      </w:pPr>
      <w:hyperlink r:id="rId16" w:anchor="_Toc57223730" w:history="1">
        <w:r w:rsidR="003B2575" w:rsidRPr="00962086">
          <w:rPr>
            <w:rStyle w:val="Hipervnculo"/>
            <w:noProof/>
          </w:rPr>
          <w:t>Ilustración 12. Mapa Localidad de los Mártires. Estructura ecológica principal.</w:t>
        </w:r>
        <w:r w:rsidR="003B2575">
          <w:rPr>
            <w:noProof/>
            <w:webHidden/>
          </w:rPr>
          <w:tab/>
        </w:r>
        <w:r w:rsidR="003B2575">
          <w:rPr>
            <w:noProof/>
            <w:webHidden/>
          </w:rPr>
          <w:fldChar w:fldCharType="begin"/>
        </w:r>
        <w:r w:rsidR="003B2575">
          <w:rPr>
            <w:noProof/>
            <w:webHidden/>
          </w:rPr>
          <w:instrText xml:space="preserve"> PAGEREF _Toc57223730 \h </w:instrText>
        </w:r>
        <w:r w:rsidR="003B2575">
          <w:rPr>
            <w:noProof/>
            <w:webHidden/>
          </w:rPr>
        </w:r>
        <w:r w:rsidR="003B2575">
          <w:rPr>
            <w:noProof/>
            <w:webHidden/>
          </w:rPr>
          <w:fldChar w:fldCharType="separate"/>
        </w:r>
        <w:r w:rsidR="003B2575">
          <w:rPr>
            <w:noProof/>
            <w:webHidden/>
          </w:rPr>
          <w:t>65</w:t>
        </w:r>
        <w:r w:rsidR="003B2575">
          <w:rPr>
            <w:noProof/>
            <w:webHidden/>
          </w:rPr>
          <w:fldChar w:fldCharType="end"/>
        </w:r>
      </w:hyperlink>
    </w:p>
    <w:p w14:paraId="3C673569" w14:textId="6310D23E" w:rsidR="003B2575" w:rsidRDefault="007E54F3">
      <w:pPr>
        <w:pStyle w:val="Tabladeilustraciones"/>
        <w:tabs>
          <w:tab w:val="right" w:leader="dot" w:pos="9394"/>
        </w:tabs>
        <w:rPr>
          <w:rFonts w:asciiTheme="minorHAnsi" w:eastAsiaTheme="minorEastAsia" w:hAnsiTheme="minorHAnsi" w:cstheme="minorBidi"/>
          <w:noProof/>
          <w:lang w:val="es-419"/>
        </w:rPr>
      </w:pPr>
      <w:hyperlink w:anchor="_Toc57223731" w:history="1">
        <w:r w:rsidR="003B2575" w:rsidRPr="00962086">
          <w:rPr>
            <w:rStyle w:val="Hipervnculo"/>
            <w:noProof/>
          </w:rPr>
          <w:t>Ilustración 13.Tipos de organizaciones.</w:t>
        </w:r>
        <w:r w:rsidR="003B2575">
          <w:rPr>
            <w:noProof/>
            <w:webHidden/>
          </w:rPr>
          <w:tab/>
        </w:r>
        <w:r w:rsidR="003B2575">
          <w:rPr>
            <w:noProof/>
            <w:webHidden/>
          </w:rPr>
          <w:fldChar w:fldCharType="begin"/>
        </w:r>
        <w:r w:rsidR="003B2575">
          <w:rPr>
            <w:noProof/>
            <w:webHidden/>
          </w:rPr>
          <w:instrText xml:space="preserve"> PAGEREF _Toc57223731 \h </w:instrText>
        </w:r>
        <w:r w:rsidR="003B2575">
          <w:rPr>
            <w:noProof/>
            <w:webHidden/>
          </w:rPr>
        </w:r>
        <w:r w:rsidR="003B2575">
          <w:rPr>
            <w:noProof/>
            <w:webHidden/>
          </w:rPr>
          <w:fldChar w:fldCharType="separate"/>
        </w:r>
        <w:r w:rsidR="003B2575">
          <w:rPr>
            <w:noProof/>
            <w:webHidden/>
          </w:rPr>
          <w:t>72</w:t>
        </w:r>
        <w:r w:rsidR="003B2575">
          <w:rPr>
            <w:noProof/>
            <w:webHidden/>
          </w:rPr>
          <w:fldChar w:fldCharType="end"/>
        </w:r>
      </w:hyperlink>
    </w:p>
    <w:p w14:paraId="5E78CA8B" w14:textId="4DD2DC57" w:rsidR="003B2575" w:rsidRDefault="007E54F3">
      <w:pPr>
        <w:pStyle w:val="Tabladeilustraciones"/>
        <w:tabs>
          <w:tab w:val="right" w:leader="dot" w:pos="9394"/>
        </w:tabs>
        <w:rPr>
          <w:rFonts w:asciiTheme="minorHAnsi" w:eastAsiaTheme="minorEastAsia" w:hAnsiTheme="minorHAnsi" w:cstheme="minorBidi"/>
          <w:noProof/>
          <w:lang w:val="es-419"/>
        </w:rPr>
      </w:pPr>
      <w:hyperlink w:anchor="_Toc57223732" w:history="1">
        <w:r w:rsidR="003B2575" w:rsidRPr="00962086">
          <w:rPr>
            <w:rStyle w:val="Hipervnculo"/>
            <w:noProof/>
          </w:rPr>
          <w:t>Ilustración 14.Líneas temáticas..</w:t>
        </w:r>
        <w:r w:rsidR="003B2575">
          <w:rPr>
            <w:noProof/>
            <w:webHidden/>
          </w:rPr>
          <w:tab/>
        </w:r>
        <w:r w:rsidR="003B2575">
          <w:rPr>
            <w:noProof/>
            <w:webHidden/>
          </w:rPr>
          <w:fldChar w:fldCharType="begin"/>
        </w:r>
        <w:r w:rsidR="003B2575">
          <w:rPr>
            <w:noProof/>
            <w:webHidden/>
          </w:rPr>
          <w:instrText xml:space="preserve"> PAGEREF _Toc57223732 \h </w:instrText>
        </w:r>
        <w:r w:rsidR="003B2575">
          <w:rPr>
            <w:noProof/>
            <w:webHidden/>
          </w:rPr>
        </w:r>
        <w:r w:rsidR="003B2575">
          <w:rPr>
            <w:noProof/>
            <w:webHidden/>
          </w:rPr>
          <w:fldChar w:fldCharType="separate"/>
        </w:r>
        <w:r w:rsidR="003B2575">
          <w:rPr>
            <w:noProof/>
            <w:webHidden/>
          </w:rPr>
          <w:t>72</w:t>
        </w:r>
        <w:r w:rsidR="003B2575">
          <w:rPr>
            <w:noProof/>
            <w:webHidden/>
          </w:rPr>
          <w:fldChar w:fldCharType="end"/>
        </w:r>
      </w:hyperlink>
    </w:p>
    <w:p w14:paraId="5AFF28AF" w14:textId="08260BE0" w:rsidR="003B2575" w:rsidRDefault="007E54F3">
      <w:pPr>
        <w:pStyle w:val="Tabladeilustraciones"/>
        <w:tabs>
          <w:tab w:val="right" w:leader="dot" w:pos="9394"/>
        </w:tabs>
        <w:rPr>
          <w:rFonts w:asciiTheme="minorHAnsi" w:eastAsiaTheme="minorEastAsia" w:hAnsiTheme="minorHAnsi" w:cstheme="minorBidi"/>
          <w:noProof/>
          <w:lang w:val="es-419"/>
        </w:rPr>
      </w:pPr>
      <w:hyperlink w:anchor="_Toc57223733" w:history="1">
        <w:r w:rsidR="003B2575" w:rsidRPr="00962086">
          <w:rPr>
            <w:rStyle w:val="Hipervnculo"/>
            <w:noProof/>
          </w:rPr>
          <w:t>Ilustración 15.Procesos de participación.</w:t>
        </w:r>
        <w:r w:rsidR="003B2575">
          <w:rPr>
            <w:noProof/>
            <w:webHidden/>
          </w:rPr>
          <w:tab/>
        </w:r>
        <w:r w:rsidR="003B2575">
          <w:rPr>
            <w:noProof/>
            <w:webHidden/>
          </w:rPr>
          <w:fldChar w:fldCharType="begin"/>
        </w:r>
        <w:r w:rsidR="003B2575">
          <w:rPr>
            <w:noProof/>
            <w:webHidden/>
          </w:rPr>
          <w:instrText xml:space="preserve"> PAGEREF _Toc57223733 \h </w:instrText>
        </w:r>
        <w:r w:rsidR="003B2575">
          <w:rPr>
            <w:noProof/>
            <w:webHidden/>
          </w:rPr>
        </w:r>
        <w:r w:rsidR="003B2575">
          <w:rPr>
            <w:noProof/>
            <w:webHidden/>
          </w:rPr>
          <w:fldChar w:fldCharType="separate"/>
        </w:r>
        <w:r w:rsidR="003B2575">
          <w:rPr>
            <w:noProof/>
            <w:webHidden/>
          </w:rPr>
          <w:t>73</w:t>
        </w:r>
        <w:r w:rsidR="003B2575">
          <w:rPr>
            <w:noProof/>
            <w:webHidden/>
          </w:rPr>
          <w:fldChar w:fldCharType="end"/>
        </w:r>
      </w:hyperlink>
    </w:p>
    <w:p w14:paraId="2CB2D890" w14:textId="19C3F9E4" w:rsidR="00FD2E27" w:rsidRDefault="003B2575" w:rsidP="003B2575">
      <w:pPr>
        <w:spacing w:after="160" w:line="259" w:lineRule="auto"/>
        <w:ind w:firstLine="0"/>
      </w:pPr>
      <w:r>
        <w:fldChar w:fldCharType="end"/>
      </w:r>
    </w:p>
    <w:p w14:paraId="0E565268" w14:textId="47EA65CB" w:rsidR="003B2575" w:rsidRPr="002523A9" w:rsidRDefault="002523A9" w:rsidP="003B2575">
      <w:pPr>
        <w:spacing w:after="160" w:line="259" w:lineRule="auto"/>
        <w:ind w:firstLine="0"/>
        <w:rPr>
          <w:b/>
          <w:bCs/>
        </w:rPr>
      </w:pPr>
      <w:r w:rsidRPr="002523A9">
        <w:rPr>
          <w:b/>
          <w:bCs/>
        </w:rPr>
        <w:t>TABLAS</w:t>
      </w:r>
    </w:p>
    <w:p w14:paraId="3A368E40" w14:textId="7BA5476C" w:rsidR="002523A9" w:rsidRDefault="002523A9">
      <w:pPr>
        <w:pStyle w:val="Tabladeilustraciones"/>
        <w:tabs>
          <w:tab w:val="right" w:leader="dot" w:pos="9394"/>
        </w:tabs>
        <w:rPr>
          <w:rFonts w:asciiTheme="minorHAnsi" w:eastAsiaTheme="minorEastAsia" w:hAnsiTheme="minorHAnsi" w:cstheme="minorBidi"/>
          <w:noProof/>
          <w:lang w:val="es-419"/>
        </w:rPr>
      </w:pPr>
      <w:r>
        <w:fldChar w:fldCharType="begin"/>
      </w:r>
      <w:r>
        <w:instrText xml:space="preserve"> TOC \h \z \c "Tabla" </w:instrText>
      </w:r>
      <w:r>
        <w:fldChar w:fldCharType="separate"/>
      </w:r>
      <w:hyperlink w:anchor="_Toc57227486" w:history="1">
        <w:r w:rsidRPr="00DA42F6">
          <w:rPr>
            <w:rStyle w:val="Hipervnculo"/>
            <w:noProof/>
          </w:rPr>
          <w:t>Tabla 1. Extensión, sectores catastrales.</w:t>
        </w:r>
        <w:r>
          <w:rPr>
            <w:noProof/>
            <w:webHidden/>
          </w:rPr>
          <w:tab/>
        </w:r>
        <w:r>
          <w:rPr>
            <w:noProof/>
            <w:webHidden/>
          </w:rPr>
          <w:fldChar w:fldCharType="begin"/>
        </w:r>
        <w:r>
          <w:rPr>
            <w:noProof/>
            <w:webHidden/>
          </w:rPr>
          <w:instrText xml:space="preserve"> PAGEREF _Toc57227486 \h </w:instrText>
        </w:r>
        <w:r>
          <w:rPr>
            <w:noProof/>
            <w:webHidden/>
          </w:rPr>
        </w:r>
        <w:r>
          <w:rPr>
            <w:noProof/>
            <w:webHidden/>
          </w:rPr>
          <w:fldChar w:fldCharType="separate"/>
        </w:r>
        <w:r>
          <w:rPr>
            <w:noProof/>
            <w:webHidden/>
          </w:rPr>
          <w:t>32</w:t>
        </w:r>
        <w:r>
          <w:rPr>
            <w:noProof/>
            <w:webHidden/>
          </w:rPr>
          <w:fldChar w:fldCharType="end"/>
        </w:r>
      </w:hyperlink>
    </w:p>
    <w:p w14:paraId="59FC0E5B" w14:textId="4603868B" w:rsidR="002523A9" w:rsidRDefault="007E54F3">
      <w:pPr>
        <w:pStyle w:val="Tabladeilustraciones"/>
        <w:tabs>
          <w:tab w:val="right" w:leader="dot" w:pos="9394"/>
        </w:tabs>
        <w:rPr>
          <w:rFonts w:asciiTheme="minorHAnsi" w:eastAsiaTheme="minorEastAsia" w:hAnsiTheme="minorHAnsi" w:cstheme="minorBidi"/>
          <w:noProof/>
          <w:lang w:val="es-419"/>
        </w:rPr>
      </w:pPr>
      <w:hyperlink w:anchor="_Toc57227487" w:history="1">
        <w:r w:rsidR="002523A9" w:rsidRPr="00DA42F6">
          <w:rPr>
            <w:rStyle w:val="Hipervnculo"/>
            <w:noProof/>
          </w:rPr>
          <w:t>Tabla 2. UPZ Los Mártires</w:t>
        </w:r>
        <w:r w:rsidR="002523A9">
          <w:rPr>
            <w:noProof/>
            <w:webHidden/>
          </w:rPr>
          <w:tab/>
        </w:r>
        <w:r w:rsidR="002523A9">
          <w:rPr>
            <w:noProof/>
            <w:webHidden/>
          </w:rPr>
          <w:fldChar w:fldCharType="begin"/>
        </w:r>
        <w:r w:rsidR="002523A9">
          <w:rPr>
            <w:noProof/>
            <w:webHidden/>
          </w:rPr>
          <w:instrText xml:space="preserve"> PAGEREF _Toc57227487 \h </w:instrText>
        </w:r>
        <w:r w:rsidR="002523A9">
          <w:rPr>
            <w:noProof/>
            <w:webHidden/>
          </w:rPr>
        </w:r>
        <w:r w:rsidR="002523A9">
          <w:rPr>
            <w:noProof/>
            <w:webHidden/>
          </w:rPr>
          <w:fldChar w:fldCharType="separate"/>
        </w:r>
        <w:r w:rsidR="002523A9">
          <w:rPr>
            <w:noProof/>
            <w:webHidden/>
          </w:rPr>
          <w:t>32</w:t>
        </w:r>
        <w:r w:rsidR="002523A9">
          <w:rPr>
            <w:noProof/>
            <w:webHidden/>
          </w:rPr>
          <w:fldChar w:fldCharType="end"/>
        </w:r>
      </w:hyperlink>
    </w:p>
    <w:p w14:paraId="35BFA27C" w14:textId="7ACE2C21" w:rsidR="002523A9" w:rsidRDefault="007E54F3">
      <w:pPr>
        <w:pStyle w:val="Tabladeilustraciones"/>
        <w:tabs>
          <w:tab w:val="right" w:leader="dot" w:pos="9394"/>
        </w:tabs>
        <w:rPr>
          <w:rFonts w:asciiTheme="minorHAnsi" w:eastAsiaTheme="minorEastAsia" w:hAnsiTheme="minorHAnsi" w:cstheme="minorBidi"/>
          <w:noProof/>
          <w:lang w:val="es-419"/>
        </w:rPr>
      </w:pPr>
      <w:hyperlink w:anchor="_Toc57227488" w:history="1">
        <w:r w:rsidR="002523A9" w:rsidRPr="00DA42F6">
          <w:rPr>
            <w:rStyle w:val="Hipervnculo"/>
            <w:noProof/>
          </w:rPr>
          <w:t>Tabla 3.Intervenciones del arbolado urbano y la Jardinería en Localidad de los Mártires.</w:t>
        </w:r>
        <w:r w:rsidR="002523A9">
          <w:rPr>
            <w:noProof/>
            <w:webHidden/>
          </w:rPr>
          <w:tab/>
        </w:r>
        <w:r w:rsidR="002523A9">
          <w:rPr>
            <w:noProof/>
            <w:webHidden/>
          </w:rPr>
          <w:fldChar w:fldCharType="begin"/>
        </w:r>
        <w:r w:rsidR="002523A9">
          <w:rPr>
            <w:noProof/>
            <w:webHidden/>
          </w:rPr>
          <w:instrText xml:space="preserve"> PAGEREF _Toc57227488 \h </w:instrText>
        </w:r>
        <w:r w:rsidR="002523A9">
          <w:rPr>
            <w:noProof/>
            <w:webHidden/>
          </w:rPr>
        </w:r>
        <w:r w:rsidR="002523A9">
          <w:rPr>
            <w:noProof/>
            <w:webHidden/>
          </w:rPr>
          <w:fldChar w:fldCharType="separate"/>
        </w:r>
        <w:r w:rsidR="002523A9">
          <w:rPr>
            <w:noProof/>
            <w:webHidden/>
          </w:rPr>
          <w:t>37</w:t>
        </w:r>
        <w:r w:rsidR="002523A9">
          <w:rPr>
            <w:noProof/>
            <w:webHidden/>
          </w:rPr>
          <w:fldChar w:fldCharType="end"/>
        </w:r>
      </w:hyperlink>
    </w:p>
    <w:p w14:paraId="13C93854" w14:textId="1D1C1CAD" w:rsidR="002523A9" w:rsidRDefault="007E54F3">
      <w:pPr>
        <w:pStyle w:val="Tabladeilustraciones"/>
        <w:tabs>
          <w:tab w:val="right" w:leader="dot" w:pos="9394"/>
        </w:tabs>
        <w:rPr>
          <w:rFonts w:asciiTheme="minorHAnsi" w:eastAsiaTheme="minorEastAsia" w:hAnsiTheme="minorHAnsi" w:cstheme="minorBidi"/>
          <w:noProof/>
          <w:lang w:val="es-419"/>
        </w:rPr>
      </w:pPr>
      <w:hyperlink w:anchor="_Toc57227489" w:history="1">
        <w:r w:rsidR="002523A9" w:rsidRPr="00DA42F6">
          <w:rPr>
            <w:rStyle w:val="Hipervnculo"/>
            <w:noProof/>
          </w:rPr>
          <w:t>Tabla 4.Puntos críticos de arrojo de residuos mixtos clandestinos.</w:t>
        </w:r>
        <w:r w:rsidR="002523A9">
          <w:rPr>
            <w:noProof/>
            <w:webHidden/>
          </w:rPr>
          <w:tab/>
        </w:r>
        <w:r w:rsidR="002523A9">
          <w:rPr>
            <w:noProof/>
            <w:webHidden/>
          </w:rPr>
          <w:fldChar w:fldCharType="begin"/>
        </w:r>
        <w:r w:rsidR="002523A9">
          <w:rPr>
            <w:noProof/>
            <w:webHidden/>
          </w:rPr>
          <w:instrText xml:space="preserve"> PAGEREF _Toc57227489 \h </w:instrText>
        </w:r>
        <w:r w:rsidR="002523A9">
          <w:rPr>
            <w:noProof/>
            <w:webHidden/>
          </w:rPr>
        </w:r>
        <w:r w:rsidR="002523A9">
          <w:rPr>
            <w:noProof/>
            <w:webHidden/>
          </w:rPr>
          <w:fldChar w:fldCharType="separate"/>
        </w:r>
        <w:r w:rsidR="002523A9">
          <w:rPr>
            <w:noProof/>
            <w:webHidden/>
          </w:rPr>
          <w:t>44</w:t>
        </w:r>
        <w:r w:rsidR="002523A9">
          <w:rPr>
            <w:noProof/>
            <w:webHidden/>
          </w:rPr>
          <w:fldChar w:fldCharType="end"/>
        </w:r>
      </w:hyperlink>
    </w:p>
    <w:p w14:paraId="2982BAB8" w14:textId="6054638C" w:rsidR="002523A9" w:rsidRDefault="007E54F3">
      <w:pPr>
        <w:pStyle w:val="Tabladeilustraciones"/>
        <w:tabs>
          <w:tab w:val="right" w:leader="dot" w:pos="9394"/>
        </w:tabs>
        <w:rPr>
          <w:rFonts w:asciiTheme="minorHAnsi" w:eastAsiaTheme="minorEastAsia" w:hAnsiTheme="minorHAnsi" w:cstheme="minorBidi"/>
          <w:noProof/>
          <w:lang w:val="es-419"/>
        </w:rPr>
      </w:pPr>
      <w:hyperlink r:id="rId17" w:anchor="_Toc57227490" w:history="1">
        <w:r w:rsidR="002523A9" w:rsidRPr="00DA42F6">
          <w:rPr>
            <w:rStyle w:val="Hipervnculo"/>
            <w:noProof/>
          </w:rPr>
          <w:t>Tabla 5.Número de actividades  realizadas mensualmente por el área de gestión social.</w:t>
        </w:r>
        <w:r w:rsidR="002523A9">
          <w:rPr>
            <w:noProof/>
            <w:webHidden/>
          </w:rPr>
          <w:tab/>
        </w:r>
        <w:r w:rsidR="002523A9">
          <w:rPr>
            <w:noProof/>
            <w:webHidden/>
          </w:rPr>
          <w:fldChar w:fldCharType="begin"/>
        </w:r>
        <w:r w:rsidR="002523A9">
          <w:rPr>
            <w:noProof/>
            <w:webHidden/>
          </w:rPr>
          <w:instrText xml:space="preserve"> PAGEREF _Toc57227490 \h </w:instrText>
        </w:r>
        <w:r w:rsidR="002523A9">
          <w:rPr>
            <w:noProof/>
            <w:webHidden/>
          </w:rPr>
        </w:r>
        <w:r w:rsidR="002523A9">
          <w:rPr>
            <w:noProof/>
            <w:webHidden/>
          </w:rPr>
          <w:fldChar w:fldCharType="separate"/>
        </w:r>
        <w:r w:rsidR="002523A9">
          <w:rPr>
            <w:noProof/>
            <w:webHidden/>
          </w:rPr>
          <w:t>48</w:t>
        </w:r>
        <w:r w:rsidR="002523A9">
          <w:rPr>
            <w:noProof/>
            <w:webHidden/>
          </w:rPr>
          <w:fldChar w:fldCharType="end"/>
        </w:r>
      </w:hyperlink>
    </w:p>
    <w:p w14:paraId="1741F445" w14:textId="0599C978" w:rsidR="002523A9" w:rsidRDefault="007E54F3">
      <w:pPr>
        <w:pStyle w:val="Tabladeilustraciones"/>
        <w:tabs>
          <w:tab w:val="right" w:leader="dot" w:pos="9394"/>
        </w:tabs>
        <w:rPr>
          <w:rFonts w:asciiTheme="minorHAnsi" w:eastAsiaTheme="minorEastAsia" w:hAnsiTheme="minorHAnsi" w:cstheme="minorBidi"/>
          <w:noProof/>
          <w:lang w:val="es-419"/>
        </w:rPr>
      </w:pPr>
      <w:hyperlink r:id="rId18" w:anchor="_Toc57227491" w:history="1">
        <w:r w:rsidR="002523A9" w:rsidRPr="00DA42F6">
          <w:rPr>
            <w:rStyle w:val="Hipervnculo"/>
            <w:noProof/>
          </w:rPr>
          <w:t>Tabla 6.Estadísticas de las concentraciones anuales de PM10 registradas en el año 2018.</w:t>
        </w:r>
        <w:r w:rsidR="002523A9">
          <w:rPr>
            <w:noProof/>
            <w:webHidden/>
          </w:rPr>
          <w:tab/>
        </w:r>
        <w:r w:rsidR="002523A9">
          <w:rPr>
            <w:noProof/>
            <w:webHidden/>
          </w:rPr>
          <w:fldChar w:fldCharType="begin"/>
        </w:r>
        <w:r w:rsidR="002523A9">
          <w:rPr>
            <w:noProof/>
            <w:webHidden/>
          </w:rPr>
          <w:instrText xml:space="preserve"> PAGEREF _Toc57227491 \h </w:instrText>
        </w:r>
        <w:r w:rsidR="002523A9">
          <w:rPr>
            <w:noProof/>
            <w:webHidden/>
          </w:rPr>
        </w:r>
        <w:r w:rsidR="002523A9">
          <w:rPr>
            <w:noProof/>
            <w:webHidden/>
          </w:rPr>
          <w:fldChar w:fldCharType="separate"/>
        </w:r>
        <w:r w:rsidR="002523A9">
          <w:rPr>
            <w:noProof/>
            <w:webHidden/>
          </w:rPr>
          <w:t>50</w:t>
        </w:r>
        <w:r w:rsidR="002523A9">
          <w:rPr>
            <w:noProof/>
            <w:webHidden/>
          </w:rPr>
          <w:fldChar w:fldCharType="end"/>
        </w:r>
      </w:hyperlink>
    </w:p>
    <w:p w14:paraId="5844C339" w14:textId="3366C920" w:rsidR="002523A9" w:rsidRDefault="007E54F3">
      <w:pPr>
        <w:pStyle w:val="Tabladeilustraciones"/>
        <w:tabs>
          <w:tab w:val="right" w:leader="dot" w:pos="9394"/>
        </w:tabs>
        <w:rPr>
          <w:rFonts w:asciiTheme="minorHAnsi" w:eastAsiaTheme="minorEastAsia" w:hAnsiTheme="minorHAnsi" w:cstheme="minorBidi"/>
          <w:noProof/>
          <w:lang w:val="es-419"/>
        </w:rPr>
      </w:pPr>
      <w:hyperlink w:anchor="_Toc57227492" w:history="1">
        <w:r w:rsidR="002523A9" w:rsidRPr="00DA42F6">
          <w:rPr>
            <w:rStyle w:val="Hipervnculo"/>
            <w:noProof/>
          </w:rPr>
          <w:t>Tabla 7.Estadísticas de las concentraciones anuales de PM10 registradas en el año 2019</w:t>
        </w:r>
        <w:r w:rsidR="002523A9">
          <w:rPr>
            <w:noProof/>
            <w:webHidden/>
          </w:rPr>
          <w:tab/>
        </w:r>
        <w:r w:rsidR="002523A9">
          <w:rPr>
            <w:noProof/>
            <w:webHidden/>
          </w:rPr>
          <w:fldChar w:fldCharType="begin"/>
        </w:r>
        <w:r w:rsidR="002523A9">
          <w:rPr>
            <w:noProof/>
            <w:webHidden/>
          </w:rPr>
          <w:instrText xml:space="preserve"> PAGEREF _Toc57227492 \h </w:instrText>
        </w:r>
        <w:r w:rsidR="002523A9">
          <w:rPr>
            <w:noProof/>
            <w:webHidden/>
          </w:rPr>
        </w:r>
        <w:r w:rsidR="002523A9">
          <w:rPr>
            <w:noProof/>
            <w:webHidden/>
          </w:rPr>
          <w:fldChar w:fldCharType="separate"/>
        </w:r>
        <w:r w:rsidR="002523A9">
          <w:rPr>
            <w:noProof/>
            <w:webHidden/>
          </w:rPr>
          <w:t>52</w:t>
        </w:r>
        <w:r w:rsidR="002523A9">
          <w:rPr>
            <w:noProof/>
            <w:webHidden/>
          </w:rPr>
          <w:fldChar w:fldCharType="end"/>
        </w:r>
      </w:hyperlink>
    </w:p>
    <w:p w14:paraId="61023879" w14:textId="104DC70D" w:rsidR="002523A9" w:rsidRDefault="007E54F3">
      <w:pPr>
        <w:pStyle w:val="Tabladeilustraciones"/>
        <w:tabs>
          <w:tab w:val="right" w:leader="dot" w:pos="9394"/>
        </w:tabs>
        <w:rPr>
          <w:rFonts w:asciiTheme="minorHAnsi" w:eastAsiaTheme="minorEastAsia" w:hAnsiTheme="minorHAnsi" w:cstheme="minorBidi"/>
          <w:noProof/>
          <w:lang w:val="es-419"/>
        </w:rPr>
      </w:pPr>
      <w:hyperlink w:anchor="_Toc57227493" w:history="1">
        <w:r w:rsidR="002523A9" w:rsidRPr="00DA42F6">
          <w:rPr>
            <w:rStyle w:val="Hipervnculo"/>
            <w:noProof/>
          </w:rPr>
          <w:t>Tabla 8.Alertas por contaminación atmosférica declaradas en el 2019.</w:t>
        </w:r>
        <w:r w:rsidR="002523A9">
          <w:rPr>
            <w:noProof/>
            <w:webHidden/>
          </w:rPr>
          <w:tab/>
        </w:r>
        <w:r w:rsidR="002523A9">
          <w:rPr>
            <w:noProof/>
            <w:webHidden/>
          </w:rPr>
          <w:fldChar w:fldCharType="begin"/>
        </w:r>
        <w:r w:rsidR="002523A9">
          <w:rPr>
            <w:noProof/>
            <w:webHidden/>
          </w:rPr>
          <w:instrText xml:space="preserve"> PAGEREF _Toc57227493 \h </w:instrText>
        </w:r>
        <w:r w:rsidR="002523A9">
          <w:rPr>
            <w:noProof/>
            <w:webHidden/>
          </w:rPr>
        </w:r>
        <w:r w:rsidR="002523A9">
          <w:rPr>
            <w:noProof/>
            <w:webHidden/>
          </w:rPr>
          <w:fldChar w:fldCharType="separate"/>
        </w:r>
        <w:r w:rsidR="002523A9">
          <w:rPr>
            <w:noProof/>
            <w:webHidden/>
          </w:rPr>
          <w:t>54</w:t>
        </w:r>
        <w:r w:rsidR="002523A9">
          <w:rPr>
            <w:noProof/>
            <w:webHidden/>
          </w:rPr>
          <w:fldChar w:fldCharType="end"/>
        </w:r>
      </w:hyperlink>
    </w:p>
    <w:p w14:paraId="2D3D60D6" w14:textId="5D051CCC" w:rsidR="002523A9" w:rsidRDefault="007E54F3">
      <w:pPr>
        <w:pStyle w:val="Tabladeilustraciones"/>
        <w:tabs>
          <w:tab w:val="right" w:leader="dot" w:pos="9394"/>
        </w:tabs>
        <w:rPr>
          <w:rFonts w:asciiTheme="minorHAnsi" w:eastAsiaTheme="minorEastAsia" w:hAnsiTheme="minorHAnsi" w:cstheme="minorBidi"/>
          <w:noProof/>
          <w:lang w:val="es-419"/>
        </w:rPr>
      </w:pPr>
      <w:hyperlink w:anchor="_Toc57227494" w:history="1">
        <w:r w:rsidR="002523A9" w:rsidRPr="00DA42F6">
          <w:rPr>
            <w:rStyle w:val="Hipervnculo"/>
            <w:noProof/>
          </w:rPr>
          <w:t>Tabla 9. Elementos de Publicidad Exterior Visual Desmontada Anualmente.</w:t>
        </w:r>
        <w:r w:rsidR="002523A9">
          <w:rPr>
            <w:noProof/>
            <w:webHidden/>
          </w:rPr>
          <w:tab/>
        </w:r>
        <w:r w:rsidR="002523A9">
          <w:rPr>
            <w:noProof/>
            <w:webHidden/>
          </w:rPr>
          <w:fldChar w:fldCharType="begin"/>
        </w:r>
        <w:r w:rsidR="002523A9">
          <w:rPr>
            <w:noProof/>
            <w:webHidden/>
          </w:rPr>
          <w:instrText xml:space="preserve"> PAGEREF _Toc57227494 \h </w:instrText>
        </w:r>
        <w:r w:rsidR="002523A9">
          <w:rPr>
            <w:noProof/>
            <w:webHidden/>
          </w:rPr>
        </w:r>
        <w:r w:rsidR="002523A9">
          <w:rPr>
            <w:noProof/>
            <w:webHidden/>
          </w:rPr>
          <w:fldChar w:fldCharType="separate"/>
        </w:r>
        <w:r w:rsidR="002523A9">
          <w:rPr>
            <w:noProof/>
            <w:webHidden/>
          </w:rPr>
          <w:t>58</w:t>
        </w:r>
        <w:r w:rsidR="002523A9">
          <w:rPr>
            <w:noProof/>
            <w:webHidden/>
          </w:rPr>
          <w:fldChar w:fldCharType="end"/>
        </w:r>
      </w:hyperlink>
    </w:p>
    <w:p w14:paraId="26B8B448" w14:textId="4A9DB3A7" w:rsidR="002523A9" w:rsidRDefault="007E54F3">
      <w:pPr>
        <w:pStyle w:val="Tabladeilustraciones"/>
        <w:tabs>
          <w:tab w:val="right" w:leader="dot" w:pos="9394"/>
        </w:tabs>
        <w:rPr>
          <w:rFonts w:asciiTheme="minorHAnsi" w:eastAsiaTheme="minorEastAsia" w:hAnsiTheme="minorHAnsi" w:cstheme="minorBidi"/>
          <w:noProof/>
          <w:lang w:val="es-419"/>
        </w:rPr>
      </w:pPr>
      <w:hyperlink w:anchor="_Toc57227495" w:history="1">
        <w:r w:rsidR="002523A9" w:rsidRPr="00DA42F6">
          <w:rPr>
            <w:rStyle w:val="Hipervnculo"/>
            <w:noProof/>
          </w:rPr>
          <w:t>Tabla 10. Pozos de Agua Subterránea con Sellamiento Temporal - %PST (%)</w:t>
        </w:r>
        <w:r w:rsidR="002523A9">
          <w:rPr>
            <w:noProof/>
            <w:webHidden/>
          </w:rPr>
          <w:tab/>
        </w:r>
        <w:r w:rsidR="002523A9">
          <w:rPr>
            <w:noProof/>
            <w:webHidden/>
          </w:rPr>
          <w:fldChar w:fldCharType="begin"/>
        </w:r>
        <w:r w:rsidR="002523A9">
          <w:rPr>
            <w:noProof/>
            <w:webHidden/>
          </w:rPr>
          <w:instrText xml:space="preserve"> PAGEREF _Toc57227495 \h </w:instrText>
        </w:r>
        <w:r w:rsidR="002523A9">
          <w:rPr>
            <w:noProof/>
            <w:webHidden/>
          </w:rPr>
        </w:r>
        <w:r w:rsidR="002523A9">
          <w:rPr>
            <w:noProof/>
            <w:webHidden/>
          </w:rPr>
          <w:fldChar w:fldCharType="separate"/>
        </w:r>
        <w:r w:rsidR="002523A9">
          <w:rPr>
            <w:noProof/>
            <w:webHidden/>
          </w:rPr>
          <w:t>61</w:t>
        </w:r>
        <w:r w:rsidR="002523A9">
          <w:rPr>
            <w:noProof/>
            <w:webHidden/>
          </w:rPr>
          <w:fldChar w:fldCharType="end"/>
        </w:r>
      </w:hyperlink>
    </w:p>
    <w:p w14:paraId="16E8ED06" w14:textId="2599508F" w:rsidR="002523A9" w:rsidRDefault="007E54F3">
      <w:pPr>
        <w:pStyle w:val="Tabladeilustraciones"/>
        <w:tabs>
          <w:tab w:val="right" w:leader="dot" w:pos="9394"/>
        </w:tabs>
        <w:rPr>
          <w:rFonts w:asciiTheme="minorHAnsi" w:eastAsiaTheme="minorEastAsia" w:hAnsiTheme="minorHAnsi" w:cstheme="minorBidi"/>
          <w:noProof/>
          <w:lang w:val="es-419"/>
        </w:rPr>
      </w:pPr>
      <w:hyperlink w:anchor="_Toc57227496" w:history="1">
        <w:r w:rsidR="002523A9" w:rsidRPr="00DA42F6">
          <w:rPr>
            <w:rStyle w:val="Hipervnculo"/>
            <w:noProof/>
          </w:rPr>
          <w:t>Tabla 11.Categorías de evaluación calidad del agua</w:t>
        </w:r>
        <w:r w:rsidR="002523A9">
          <w:rPr>
            <w:noProof/>
            <w:webHidden/>
          </w:rPr>
          <w:tab/>
        </w:r>
        <w:r w:rsidR="002523A9">
          <w:rPr>
            <w:noProof/>
            <w:webHidden/>
          </w:rPr>
          <w:fldChar w:fldCharType="begin"/>
        </w:r>
        <w:r w:rsidR="002523A9">
          <w:rPr>
            <w:noProof/>
            <w:webHidden/>
          </w:rPr>
          <w:instrText xml:space="preserve"> PAGEREF _Toc57227496 \h </w:instrText>
        </w:r>
        <w:r w:rsidR="002523A9">
          <w:rPr>
            <w:noProof/>
            <w:webHidden/>
          </w:rPr>
        </w:r>
        <w:r w:rsidR="002523A9">
          <w:rPr>
            <w:noProof/>
            <w:webHidden/>
          </w:rPr>
          <w:fldChar w:fldCharType="separate"/>
        </w:r>
        <w:r w:rsidR="002523A9">
          <w:rPr>
            <w:noProof/>
            <w:webHidden/>
          </w:rPr>
          <w:t>63</w:t>
        </w:r>
        <w:r w:rsidR="002523A9">
          <w:rPr>
            <w:noProof/>
            <w:webHidden/>
          </w:rPr>
          <w:fldChar w:fldCharType="end"/>
        </w:r>
      </w:hyperlink>
    </w:p>
    <w:p w14:paraId="00D9C1DF" w14:textId="1801DAF2" w:rsidR="002523A9" w:rsidRDefault="007E54F3">
      <w:pPr>
        <w:pStyle w:val="Tabladeilustraciones"/>
        <w:tabs>
          <w:tab w:val="right" w:leader="dot" w:pos="9394"/>
        </w:tabs>
        <w:rPr>
          <w:rFonts w:asciiTheme="minorHAnsi" w:eastAsiaTheme="minorEastAsia" w:hAnsiTheme="minorHAnsi" w:cstheme="minorBidi"/>
          <w:noProof/>
          <w:lang w:val="es-419"/>
        </w:rPr>
      </w:pPr>
      <w:hyperlink w:anchor="_Toc57227497" w:history="1">
        <w:r w:rsidR="002523A9" w:rsidRPr="00DA42F6">
          <w:rPr>
            <w:rStyle w:val="Hipervnculo"/>
            <w:noProof/>
          </w:rPr>
          <w:t>Tabla 12.  Agua Superficial Indicadores en Corrientes, Rio Fucha</w:t>
        </w:r>
        <w:r w:rsidR="002523A9">
          <w:rPr>
            <w:noProof/>
            <w:webHidden/>
          </w:rPr>
          <w:tab/>
        </w:r>
        <w:r w:rsidR="002523A9">
          <w:rPr>
            <w:noProof/>
            <w:webHidden/>
          </w:rPr>
          <w:fldChar w:fldCharType="begin"/>
        </w:r>
        <w:r w:rsidR="002523A9">
          <w:rPr>
            <w:noProof/>
            <w:webHidden/>
          </w:rPr>
          <w:instrText xml:space="preserve"> PAGEREF _Toc57227497 \h </w:instrText>
        </w:r>
        <w:r w:rsidR="002523A9">
          <w:rPr>
            <w:noProof/>
            <w:webHidden/>
          </w:rPr>
        </w:r>
        <w:r w:rsidR="002523A9">
          <w:rPr>
            <w:noProof/>
            <w:webHidden/>
          </w:rPr>
          <w:fldChar w:fldCharType="separate"/>
        </w:r>
        <w:r w:rsidR="002523A9">
          <w:rPr>
            <w:noProof/>
            <w:webHidden/>
          </w:rPr>
          <w:t>64</w:t>
        </w:r>
        <w:r w:rsidR="002523A9">
          <w:rPr>
            <w:noProof/>
            <w:webHidden/>
          </w:rPr>
          <w:fldChar w:fldCharType="end"/>
        </w:r>
      </w:hyperlink>
    </w:p>
    <w:p w14:paraId="3CEF2E73" w14:textId="163FA25E" w:rsidR="002523A9" w:rsidRDefault="007E54F3">
      <w:pPr>
        <w:pStyle w:val="Tabladeilustraciones"/>
        <w:tabs>
          <w:tab w:val="right" w:leader="dot" w:pos="9394"/>
        </w:tabs>
        <w:rPr>
          <w:rFonts w:asciiTheme="minorHAnsi" w:eastAsiaTheme="minorEastAsia" w:hAnsiTheme="minorHAnsi" w:cstheme="minorBidi"/>
          <w:noProof/>
          <w:lang w:val="es-419"/>
        </w:rPr>
      </w:pPr>
      <w:hyperlink w:anchor="_Toc57227498" w:history="1">
        <w:r w:rsidR="002523A9" w:rsidRPr="00DA42F6">
          <w:rPr>
            <w:rStyle w:val="Hipervnculo"/>
            <w:noProof/>
          </w:rPr>
          <w:t>Tabla 13. Identificación de escenarios  de riesgo.</w:t>
        </w:r>
        <w:r w:rsidR="002523A9">
          <w:rPr>
            <w:noProof/>
            <w:webHidden/>
          </w:rPr>
          <w:tab/>
        </w:r>
        <w:r w:rsidR="002523A9">
          <w:rPr>
            <w:noProof/>
            <w:webHidden/>
          </w:rPr>
          <w:fldChar w:fldCharType="begin"/>
        </w:r>
        <w:r w:rsidR="002523A9">
          <w:rPr>
            <w:noProof/>
            <w:webHidden/>
          </w:rPr>
          <w:instrText xml:space="preserve"> PAGEREF _Toc57227498 \h </w:instrText>
        </w:r>
        <w:r w:rsidR="002523A9">
          <w:rPr>
            <w:noProof/>
            <w:webHidden/>
          </w:rPr>
        </w:r>
        <w:r w:rsidR="002523A9">
          <w:rPr>
            <w:noProof/>
            <w:webHidden/>
          </w:rPr>
          <w:fldChar w:fldCharType="separate"/>
        </w:r>
        <w:r w:rsidR="002523A9">
          <w:rPr>
            <w:noProof/>
            <w:webHidden/>
          </w:rPr>
          <w:t>71</w:t>
        </w:r>
        <w:r w:rsidR="002523A9">
          <w:rPr>
            <w:noProof/>
            <w:webHidden/>
          </w:rPr>
          <w:fldChar w:fldCharType="end"/>
        </w:r>
      </w:hyperlink>
    </w:p>
    <w:p w14:paraId="3ED5D296" w14:textId="11682CA3" w:rsidR="002523A9" w:rsidRDefault="007E54F3">
      <w:pPr>
        <w:pStyle w:val="Tabladeilustraciones"/>
        <w:tabs>
          <w:tab w:val="right" w:leader="dot" w:pos="9394"/>
        </w:tabs>
        <w:rPr>
          <w:rFonts w:asciiTheme="minorHAnsi" w:eastAsiaTheme="minorEastAsia" w:hAnsiTheme="minorHAnsi" w:cstheme="minorBidi"/>
          <w:noProof/>
          <w:lang w:val="es-419"/>
        </w:rPr>
      </w:pPr>
      <w:hyperlink w:anchor="_Toc57227499" w:history="1">
        <w:r w:rsidR="002523A9" w:rsidRPr="00DA42F6">
          <w:rPr>
            <w:rStyle w:val="Hipervnculo"/>
            <w:noProof/>
          </w:rPr>
          <w:t>Tabla 14. Consolidación y priorización de escenarios de riesgo..</w:t>
        </w:r>
        <w:r w:rsidR="002523A9">
          <w:rPr>
            <w:noProof/>
            <w:webHidden/>
          </w:rPr>
          <w:tab/>
        </w:r>
        <w:r w:rsidR="002523A9">
          <w:rPr>
            <w:noProof/>
            <w:webHidden/>
          </w:rPr>
          <w:fldChar w:fldCharType="begin"/>
        </w:r>
        <w:r w:rsidR="002523A9">
          <w:rPr>
            <w:noProof/>
            <w:webHidden/>
          </w:rPr>
          <w:instrText xml:space="preserve"> PAGEREF _Toc57227499 \h </w:instrText>
        </w:r>
        <w:r w:rsidR="002523A9">
          <w:rPr>
            <w:noProof/>
            <w:webHidden/>
          </w:rPr>
        </w:r>
        <w:r w:rsidR="002523A9">
          <w:rPr>
            <w:noProof/>
            <w:webHidden/>
          </w:rPr>
          <w:fldChar w:fldCharType="separate"/>
        </w:r>
        <w:r w:rsidR="002523A9">
          <w:rPr>
            <w:noProof/>
            <w:webHidden/>
          </w:rPr>
          <w:t>72</w:t>
        </w:r>
        <w:r w:rsidR="002523A9">
          <w:rPr>
            <w:noProof/>
            <w:webHidden/>
          </w:rPr>
          <w:fldChar w:fldCharType="end"/>
        </w:r>
      </w:hyperlink>
    </w:p>
    <w:p w14:paraId="2BFC9D82" w14:textId="55A199F3" w:rsidR="002523A9" w:rsidRDefault="007E54F3">
      <w:pPr>
        <w:pStyle w:val="Tabladeilustraciones"/>
        <w:tabs>
          <w:tab w:val="right" w:leader="dot" w:pos="9394"/>
        </w:tabs>
        <w:rPr>
          <w:rFonts w:asciiTheme="minorHAnsi" w:eastAsiaTheme="minorEastAsia" w:hAnsiTheme="minorHAnsi" w:cstheme="minorBidi"/>
          <w:noProof/>
          <w:lang w:val="es-419"/>
        </w:rPr>
      </w:pPr>
      <w:hyperlink r:id="rId19" w:anchor="_Toc57227500" w:history="1">
        <w:r w:rsidR="002523A9" w:rsidRPr="00DA42F6">
          <w:rPr>
            <w:rStyle w:val="Hipervnculo"/>
            <w:noProof/>
          </w:rPr>
          <w:t>Tabla 15. Número de empresas participantes en el programa de Gestión Ambiental Empresarial</w:t>
        </w:r>
        <w:r w:rsidR="002523A9">
          <w:rPr>
            <w:noProof/>
            <w:webHidden/>
          </w:rPr>
          <w:tab/>
        </w:r>
        <w:r w:rsidR="002523A9">
          <w:rPr>
            <w:noProof/>
            <w:webHidden/>
          </w:rPr>
          <w:fldChar w:fldCharType="begin"/>
        </w:r>
        <w:r w:rsidR="002523A9">
          <w:rPr>
            <w:noProof/>
            <w:webHidden/>
          </w:rPr>
          <w:instrText xml:space="preserve"> PAGEREF _Toc57227500 \h </w:instrText>
        </w:r>
        <w:r w:rsidR="002523A9">
          <w:rPr>
            <w:noProof/>
            <w:webHidden/>
          </w:rPr>
        </w:r>
        <w:r w:rsidR="002523A9">
          <w:rPr>
            <w:noProof/>
            <w:webHidden/>
          </w:rPr>
          <w:fldChar w:fldCharType="separate"/>
        </w:r>
        <w:r w:rsidR="002523A9">
          <w:rPr>
            <w:noProof/>
            <w:webHidden/>
          </w:rPr>
          <w:t>77</w:t>
        </w:r>
        <w:r w:rsidR="002523A9">
          <w:rPr>
            <w:noProof/>
            <w:webHidden/>
          </w:rPr>
          <w:fldChar w:fldCharType="end"/>
        </w:r>
      </w:hyperlink>
    </w:p>
    <w:p w14:paraId="153355FA" w14:textId="5572D0ED" w:rsidR="002523A9" w:rsidRDefault="007E54F3">
      <w:pPr>
        <w:pStyle w:val="Tabladeilustraciones"/>
        <w:tabs>
          <w:tab w:val="right" w:leader="dot" w:pos="9394"/>
        </w:tabs>
        <w:rPr>
          <w:rFonts w:asciiTheme="minorHAnsi" w:eastAsiaTheme="minorEastAsia" w:hAnsiTheme="minorHAnsi" w:cstheme="minorBidi"/>
          <w:noProof/>
          <w:lang w:val="es-419"/>
        </w:rPr>
      </w:pPr>
      <w:hyperlink w:anchor="_Toc57227501" w:history="1">
        <w:r w:rsidR="002523A9" w:rsidRPr="00DA42F6">
          <w:rPr>
            <w:rStyle w:val="Hipervnculo"/>
            <w:noProof/>
          </w:rPr>
          <w:t>Tabla 16. Empresas Forestales Registradas Ante la Secretaría Distrital de Ambiente - EFR</w:t>
        </w:r>
        <w:r w:rsidR="002523A9">
          <w:rPr>
            <w:noProof/>
            <w:webHidden/>
          </w:rPr>
          <w:tab/>
        </w:r>
        <w:r w:rsidR="002523A9">
          <w:rPr>
            <w:noProof/>
            <w:webHidden/>
          </w:rPr>
          <w:fldChar w:fldCharType="begin"/>
        </w:r>
        <w:r w:rsidR="002523A9">
          <w:rPr>
            <w:noProof/>
            <w:webHidden/>
          </w:rPr>
          <w:instrText xml:space="preserve"> PAGEREF _Toc57227501 \h </w:instrText>
        </w:r>
        <w:r w:rsidR="002523A9">
          <w:rPr>
            <w:noProof/>
            <w:webHidden/>
          </w:rPr>
        </w:r>
        <w:r w:rsidR="002523A9">
          <w:rPr>
            <w:noProof/>
            <w:webHidden/>
          </w:rPr>
          <w:fldChar w:fldCharType="separate"/>
        </w:r>
        <w:r w:rsidR="002523A9">
          <w:rPr>
            <w:noProof/>
            <w:webHidden/>
          </w:rPr>
          <w:t>78</w:t>
        </w:r>
        <w:r w:rsidR="002523A9">
          <w:rPr>
            <w:noProof/>
            <w:webHidden/>
          </w:rPr>
          <w:fldChar w:fldCharType="end"/>
        </w:r>
      </w:hyperlink>
    </w:p>
    <w:p w14:paraId="5501946D" w14:textId="30C5FEF2" w:rsidR="003B2575" w:rsidRDefault="002523A9" w:rsidP="003B2575">
      <w:pPr>
        <w:spacing w:after="160" w:line="259" w:lineRule="auto"/>
        <w:ind w:firstLine="0"/>
      </w:pPr>
      <w:r>
        <w:fldChar w:fldCharType="end"/>
      </w:r>
    </w:p>
    <w:p w14:paraId="36D26481" w14:textId="4066737E" w:rsidR="002523A9" w:rsidRDefault="002523A9" w:rsidP="003B2575">
      <w:pPr>
        <w:spacing w:after="160" w:line="259" w:lineRule="auto"/>
        <w:ind w:firstLine="0"/>
      </w:pPr>
    </w:p>
    <w:p w14:paraId="35697F51" w14:textId="2B461866" w:rsidR="002523A9" w:rsidRDefault="002523A9" w:rsidP="003B2575">
      <w:pPr>
        <w:spacing w:after="160" w:line="259" w:lineRule="auto"/>
        <w:ind w:firstLine="0"/>
      </w:pPr>
    </w:p>
    <w:p w14:paraId="3B22CFF4" w14:textId="4190A7BF" w:rsidR="002523A9" w:rsidRDefault="002523A9" w:rsidP="003B2575">
      <w:pPr>
        <w:spacing w:after="160" w:line="259" w:lineRule="auto"/>
        <w:ind w:firstLine="0"/>
      </w:pPr>
    </w:p>
    <w:p w14:paraId="658017A3" w14:textId="7E17AC77" w:rsidR="002523A9" w:rsidRDefault="002523A9" w:rsidP="003B2575">
      <w:pPr>
        <w:spacing w:after="160" w:line="259" w:lineRule="auto"/>
        <w:ind w:firstLine="0"/>
      </w:pPr>
    </w:p>
    <w:p w14:paraId="6D4052C7" w14:textId="57B49EBE" w:rsidR="002523A9" w:rsidRDefault="002523A9" w:rsidP="003B2575">
      <w:pPr>
        <w:spacing w:after="160" w:line="259" w:lineRule="auto"/>
        <w:ind w:firstLine="0"/>
      </w:pPr>
    </w:p>
    <w:p w14:paraId="473AC201" w14:textId="3431782E" w:rsidR="002523A9" w:rsidRDefault="002523A9" w:rsidP="003B2575">
      <w:pPr>
        <w:spacing w:after="160" w:line="259" w:lineRule="auto"/>
        <w:ind w:firstLine="0"/>
      </w:pPr>
    </w:p>
    <w:p w14:paraId="68DC520D" w14:textId="6744B8A7" w:rsidR="002523A9" w:rsidRDefault="002523A9" w:rsidP="003B2575">
      <w:pPr>
        <w:spacing w:after="160" w:line="259" w:lineRule="auto"/>
        <w:ind w:firstLine="0"/>
      </w:pPr>
    </w:p>
    <w:p w14:paraId="526CC924" w14:textId="326D4830" w:rsidR="002523A9" w:rsidRDefault="002523A9" w:rsidP="003B2575">
      <w:pPr>
        <w:spacing w:after="160" w:line="259" w:lineRule="auto"/>
        <w:ind w:firstLine="0"/>
      </w:pPr>
    </w:p>
    <w:p w14:paraId="257738AC" w14:textId="69C5F327" w:rsidR="002523A9" w:rsidRDefault="002523A9" w:rsidP="003B2575">
      <w:pPr>
        <w:spacing w:after="160" w:line="259" w:lineRule="auto"/>
        <w:ind w:firstLine="0"/>
      </w:pPr>
    </w:p>
    <w:p w14:paraId="6A0E02BF" w14:textId="368C4296" w:rsidR="002523A9" w:rsidRDefault="002523A9" w:rsidP="003B2575">
      <w:pPr>
        <w:spacing w:after="160" w:line="259" w:lineRule="auto"/>
        <w:ind w:firstLine="0"/>
      </w:pPr>
    </w:p>
    <w:p w14:paraId="3DE34F3B" w14:textId="546362FF" w:rsidR="002523A9" w:rsidRDefault="002523A9" w:rsidP="003B2575">
      <w:pPr>
        <w:spacing w:after="160" w:line="259" w:lineRule="auto"/>
        <w:ind w:firstLine="0"/>
      </w:pPr>
    </w:p>
    <w:p w14:paraId="03D9C54E" w14:textId="5472EDB1" w:rsidR="002523A9" w:rsidRDefault="002523A9" w:rsidP="003B2575">
      <w:pPr>
        <w:spacing w:after="160" w:line="259" w:lineRule="auto"/>
        <w:ind w:firstLine="0"/>
      </w:pPr>
    </w:p>
    <w:p w14:paraId="58158D85" w14:textId="4DE30893" w:rsidR="002523A9" w:rsidRDefault="002523A9" w:rsidP="003B2575">
      <w:pPr>
        <w:spacing w:after="160" w:line="259" w:lineRule="auto"/>
        <w:ind w:firstLine="0"/>
      </w:pPr>
    </w:p>
    <w:p w14:paraId="19CCC067" w14:textId="5EFDF074" w:rsidR="002523A9" w:rsidRDefault="002523A9" w:rsidP="003B2575">
      <w:pPr>
        <w:spacing w:after="160" w:line="259" w:lineRule="auto"/>
        <w:ind w:firstLine="0"/>
      </w:pPr>
    </w:p>
    <w:p w14:paraId="4EFE8574" w14:textId="1552A1E3" w:rsidR="002523A9" w:rsidRDefault="002523A9" w:rsidP="003B2575">
      <w:pPr>
        <w:spacing w:after="160" w:line="259" w:lineRule="auto"/>
        <w:ind w:firstLine="0"/>
      </w:pPr>
    </w:p>
    <w:p w14:paraId="1E1946C7" w14:textId="77777777" w:rsidR="002523A9" w:rsidRDefault="002523A9" w:rsidP="003B2575">
      <w:pPr>
        <w:spacing w:after="160" w:line="259" w:lineRule="auto"/>
        <w:ind w:firstLine="0"/>
      </w:pPr>
    </w:p>
    <w:p w14:paraId="607D8902" w14:textId="2E47BC0F" w:rsidR="003B2575" w:rsidRDefault="003B2575" w:rsidP="003B2575">
      <w:pPr>
        <w:spacing w:after="160" w:line="259" w:lineRule="auto"/>
        <w:ind w:firstLine="0"/>
      </w:pPr>
    </w:p>
    <w:p w14:paraId="110653C2" w14:textId="1AABB69A" w:rsidR="003B2575" w:rsidRDefault="003B2575" w:rsidP="003B2575">
      <w:pPr>
        <w:spacing w:after="160" w:line="259" w:lineRule="auto"/>
        <w:ind w:firstLine="0"/>
      </w:pPr>
    </w:p>
    <w:p w14:paraId="4888E9C4" w14:textId="1B644279" w:rsidR="003B2575" w:rsidRDefault="003B2575" w:rsidP="003B2575">
      <w:pPr>
        <w:spacing w:after="160" w:line="259" w:lineRule="auto"/>
        <w:ind w:firstLine="0"/>
      </w:pPr>
    </w:p>
    <w:p w14:paraId="7056DB45" w14:textId="0F8480CF" w:rsidR="003B2575" w:rsidRDefault="003B2575" w:rsidP="003B2575">
      <w:pPr>
        <w:spacing w:after="160" w:line="259" w:lineRule="auto"/>
        <w:ind w:firstLine="0"/>
      </w:pPr>
    </w:p>
    <w:p w14:paraId="694E3D9E" w14:textId="2D3F2C70" w:rsidR="003B2575" w:rsidRDefault="003B2575" w:rsidP="003B2575">
      <w:pPr>
        <w:spacing w:after="160" w:line="259" w:lineRule="auto"/>
        <w:ind w:firstLine="0"/>
      </w:pPr>
    </w:p>
    <w:p w14:paraId="6B989528" w14:textId="0D0682C4" w:rsidR="003B2575" w:rsidRDefault="003B2575" w:rsidP="003B2575">
      <w:pPr>
        <w:spacing w:after="160" w:line="259" w:lineRule="auto"/>
        <w:ind w:firstLine="0"/>
      </w:pPr>
    </w:p>
    <w:p w14:paraId="4DD34CAE" w14:textId="77777777" w:rsidR="003B2575" w:rsidRDefault="003B2575" w:rsidP="003B2575">
      <w:pPr>
        <w:spacing w:after="160" w:line="259" w:lineRule="auto"/>
        <w:ind w:firstLine="0"/>
      </w:pPr>
    </w:p>
    <w:p w14:paraId="6B2AE448" w14:textId="498DDAC3" w:rsidR="0087017A" w:rsidRDefault="006371D8" w:rsidP="00F40A9E">
      <w:pPr>
        <w:pStyle w:val="Ttulo1"/>
        <w:ind w:firstLine="0"/>
      </w:pPr>
      <w:bookmarkStart w:id="0" w:name="_Toc57238596"/>
      <w:r w:rsidRPr="001448B2">
        <w:lastRenderedPageBreak/>
        <w:t>INTRODUCCIÓN</w:t>
      </w:r>
      <w:bookmarkEnd w:id="0"/>
    </w:p>
    <w:p w14:paraId="6AAF6EB2" w14:textId="77777777" w:rsidR="0069715A" w:rsidRDefault="0069715A" w:rsidP="00D11B68">
      <w:pPr>
        <w:ind w:firstLine="0"/>
        <w:rPr>
          <w:b/>
          <w:bCs/>
        </w:rPr>
      </w:pPr>
    </w:p>
    <w:p w14:paraId="67847C57" w14:textId="77777777" w:rsidR="0087017A" w:rsidRDefault="006371D8" w:rsidP="00D11B68">
      <w:pPr>
        <w:jc w:val="both"/>
        <w:rPr>
          <w:rFonts w:eastAsia="Arial" w:cs="Arial"/>
          <w:highlight w:val="white"/>
        </w:rPr>
      </w:pPr>
      <w:r>
        <w:rPr>
          <w:rFonts w:eastAsia="Arial" w:cs="Arial"/>
          <w:highlight w:val="white"/>
        </w:rPr>
        <w:t xml:space="preserve">En el Diagnóstico ambiental local, </w:t>
      </w:r>
      <w:proofErr w:type="gramStart"/>
      <w:r>
        <w:rPr>
          <w:rFonts w:eastAsia="Arial" w:cs="Arial"/>
          <w:highlight w:val="white"/>
        </w:rPr>
        <w:t>se  priorizan</w:t>
      </w:r>
      <w:proofErr w:type="gramEnd"/>
      <w:r>
        <w:rPr>
          <w:rFonts w:eastAsia="Arial" w:cs="Arial"/>
          <w:highlight w:val="white"/>
        </w:rPr>
        <w:t xml:space="preserve"> y proyectan las acciones e inversiones de la gestión ambiental a ejecutar en las localidades del Distrito Capital durante el cuatrienio, en concordancia con el Plan de Desarrollo Local, con los objetivos y estrategias del PGA y con las políticas ambientales del Distrito Capital.</w:t>
      </w:r>
    </w:p>
    <w:p w14:paraId="6240613B" w14:textId="77777777" w:rsidR="0087017A" w:rsidRDefault="006371D8" w:rsidP="00D11B68">
      <w:pPr>
        <w:shd w:val="clear" w:color="auto" w:fill="FFFFFF"/>
        <w:jc w:val="both"/>
        <w:rPr>
          <w:rFonts w:eastAsia="Arial" w:cs="Arial"/>
        </w:rPr>
      </w:pPr>
      <w:r>
        <w:rPr>
          <w:rFonts w:eastAsia="Arial" w:cs="Arial"/>
        </w:rPr>
        <w:t>Con una antelación no inferior a tres (3) meses a la convocatoria a Encuentros Ciudadanos por parte del Alcalde Local, cada Comisión Ambiental Local (CAL) identificará las principales problemáticas de los recursos naturales y en general del estado del ambiente en la localidad, así como sus respectivas o posibles causas, aspectos que plasmará en un documento de diagnóstico, el cual deberá ser socializado y aprobado en reunión extraordinaria de la Comisión Ambiental Local (CAL).</w:t>
      </w:r>
    </w:p>
    <w:p w14:paraId="5ADEFA7C" w14:textId="77777777" w:rsidR="0087017A" w:rsidRDefault="006371D8" w:rsidP="00D11B68">
      <w:pPr>
        <w:shd w:val="clear" w:color="auto" w:fill="FFFFFF"/>
        <w:jc w:val="both"/>
        <w:rPr>
          <w:rFonts w:eastAsia="Arial" w:cs="Arial"/>
        </w:rPr>
      </w:pPr>
      <w:r>
        <w:rPr>
          <w:rFonts w:eastAsia="Arial" w:cs="Arial"/>
        </w:rPr>
        <w:t>Este diagnóstico ambiental local será el principal insumo para los Encuentros Ciudadanos, específicamente para la (s) mesa (s) temática (s) relacionada (s) con el ambiente y los recursos naturales de la localidad.</w:t>
      </w:r>
    </w:p>
    <w:p w14:paraId="373C5006" w14:textId="77777777" w:rsidR="0087017A" w:rsidRDefault="006371D8" w:rsidP="00D11B68">
      <w:pPr>
        <w:shd w:val="clear" w:color="auto" w:fill="FFFFFF"/>
        <w:jc w:val="both"/>
        <w:rPr>
          <w:rFonts w:eastAsia="Arial" w:cs="Arial"/>
        </w:rPr>
      </w:pPr>
      <w:r>
        <w:rPr>
          <w:rFonts w:eastAsia="Arial" w:cs="Arial"/>
        </w:rPr>
        <w:t>Según lo establecido por el Decreto Distrital 625 de 2007, las Comisiones Ambientales Locales (</w:t>
      </w:r>
      <w:proofErr w:type="gramStart"/>
      <w:r>
        <w:rPr>
          <w:rFonts w:eastAsia="Arial" w:cs="Arial"/>
        </w:rPr>
        <w:t>CAL)  serán</w:t>
      </w:r>
      <w:proofErr w:type="gramEnd"/>
      <w:r>
        <w:rPr>
          <w:rFonts w:eastAsia="Arial" w:cs="Arial"/>
        </w:rPr>
        <w:t xml:space="preserve"> presididas por los respectivos Alcaldes Locales y la Secretaría Técnica estará a cargo de la Secretaría Distrital de Ambiente.</w:t>
      </w:r>
    </w:p>
    <w:p w14:paraId="1FD6BC04" w14:textId="48C37B10" w:rsidR="0087017A" w:rsidRDefault="0087017A" w:rsidP="00D11B68">
      <w:pPr>
        <w:jc w:val="both"/>
        <w:rPr>
          <w:rFonts w:eastAsia="Arial" w:cs="Arial"/>
        </w:rPr>
      </w:pPr>
    </w:p>
    <w:p w14:paraId="0E54E271" w14:textId="66F380EE" w:rsidR="006371D8" w:rsidRDefault="006371D8" w:rsidP="00D11B68">
      <w:pPr>
        <w:jc w:val="both"/>
        <w:rPr>
          <w:rFonts w:eastAsia="Arial" w:cs="Arial"/>
        </w:rPr>
      </w:pPr>
    </w:p>
    <w:p w14:paraId="08D6B3C2" w14:textId="77777777" w:rsidR="00236BCC" w:rsidRDefault="00236BCC" w:rsidP="00D11B68">
      <w:pPr>
        <w:pBdr>
          <w:top w:val="nil"/>
          <w:left w:val="nil"/>
          <w:bottom w:val="nil"/>
          <w:right w:val="nil"/>
          <w:between w:val="nil"/>
        </w:pBdr>
        <w:spacing w:after="0"/>
        <w:ind w:left="360" w:firstLine="0"/>
        <w:jc w:val="both"/>
        <w:rPr>
          <w:rFonts w:eastAsia="Arial" w:cs="Arial"/>
          <w:b/>
          <w:bCs/>
          <w:color w:val="000000"/>
        </w:rPr>
      </w:pPr>
    </w:p>
    <w:p w14:paraId="2B0AED30" w14:textId="77777777" w:rsidR="00236BCC" w:rsidRDefault="00236BCC" w:rsidP="00D11B68">
      <w:pPr>
        <w:pBdr>
          <w:top w:val="nil"/>
          <w:left w:val="nil"/>
          <w:bottom w:val="nil"/>
          <w:right w:val="nil"/>
          <w:between w:val="nil"/>
        </w:pBdr>
        <w:spacing w:after="0"/>
        <w:ind w:left="360" w:firstLine="0"/>
        <w:jc w:val="both"/>
        <w:rPr>
          <w:rFonts w:eastAsia="Arial" w:cs="Arial"/>
          <w:b/>
          <w:bCs/>
          <w:color w:val="000000"/>
        </w:rPr>
      </w:pPr>
    </w:p>
    <w:p w14:paraId="16C5D50D" w14:textId="77777777" w:rsidR="00236BCC" w:rsidRDefault="00236BCC" w:rsidP="00D11B68">
      <w:pPr>
        <w:pBdr>
          <w:top w:val="nil"/>
          <w:left w:val="nil"/>
          <w:bottom w:val="nil"/>
          <w:right w:val="nil"/>
          <w:between w:val="nil"/>
        </w:pBdr>
        <w:spacing w:after="0"/>
        <w:ind w:left="360" w:firstLine="0"/>
        <w:jc w:val="both"/>
        <w:rPr>
          <w:rFonts w:eastAsia="Arial" w:cs="Arial"/>
          <w:b/>
          <w:bCs/>
          <w:color w:val="000000"/>
        </w:rPr>
      </w:pPr>
    </w:p>
    <w:p w14:paraId="77B6D4A7" w14:textId="77777777" w:rsidR="00236BCC" w:rsidRDefault="00236BCC" w:rsidP="00D11B68">
      <w:pPr>
        <w:pBdr>
          <w:top w:val="nil"/>
          <w:left w:val="nil"/>
          <w:bottom w:val="nil"/>
          <w:right w:val="nil"/>
          <w:between w:val="nil"/>
        </w:pBdr>
        <w:spacing w:after="0"/>
        <w:ind w:left="360" w:firstLine="0"/>
        <w:jc w:val="both"/>
        <w:rPr>
          <w:rFonts w:eastAsia="Arial" w:cs="Arial"/>
          <w:b/>
          <w:bCs/>
          <w:color w:val="000000"/>
        </w:rPr>
      </w:pPr>
    </w:p>
    <w:p w14:paraId="3F779B6A" w14:textId="77777777" w:rsidR="00236BCC" w:rsidRDefault="00236BCC" w:rsidP="00D11B68">
      <w:pPr>
        <w:pBdr>
          <w:top w:val="nil"/>
          <w:left w:val="nil"/>
          <w:bottom w:val="nil"/>
          <w:right w:val="nil"/>
          <w:between w:val="nil"/>
        </w:pBdr>
        <w:spacing w:after="0"/>
        <w:ind w:left="360" w:firstLine="0"/>
        <w:jc w:val="both"/>
        <w:rPr>
          <w:rFonts w:eastAsia="Arial" w:cs="Arial"/>
          <w:b/>
          <w:bCs/>
          <w:color w:val="000000"/>
        </w:rPr>
      </w:pPr>
    </w:p>
    <w:p w14:paraId="005140EE" w14:textId="77777777" w:rsidR="00236BCC" w:rsidRDefault="00236BCC" w:rsidP="00D11B68">
      <w:pPr>
        <w:pBdr>
          <w:top w:val="nil"/>
          <w:left w:val="nil"/>
          <w:bottom w:val="nil"/>
          <w:right w:val="nil"/>
          <w:between w:val="nil"/>
        </w:pBdr>
        <w:spacing w:after="0"/>
        <w:ind w:left="360" w:firstLine="0"/>
        <w:jc w:val="both"/>
        <w:rPr>
          <w:rFonts w:eastAsia="Arial" w:cs="Arial"/>
          <w:b/>
          <w:bCs/>
          <w:color w:val="000000"/>
        </w:rPr>
      </w:pPr>
    </w:p>
    <w:p w14:paraId="2542B5DF" w14:textId="77777777" w:rsidR="00236BCC" w:rsidRDefault="00236BCC" w:rsidP="00D11B68">
      <w:pPr>
        <w:pBdr>
          <w:top w:val="nil"/>
          <w:left w:val="nil"/>
          <w:bottom w:val="nil"/>
          <w:right w:val="nil"/>
          <w:between w:val="nil"/>
        </w:pBdr>
        <w:spacing w:after="0"/>
        <w:ind w:left="360" w:firstLine="0"/>
        <w:jc w:val="both"/>
        <w:rPr>
          <w:rFonts w:eastAsia="Arial" w:cs="Arial"/>
          <w:b/>
          <w:bCs/>
          <w:color w:val="000000"/>
        </w:rPr>
      </w:pPr>
    </w:p>
    <w:p w14:paraId="6352022B" w14:textId="77777777" w:rsidR="00236BCC" w:rsidRDefault="00236BCC" w:rsidP="00D11B68">
      <w:pPr>
        <w:pBdr>
          <w:top w:val="nil"/>
          <w:left w:val="nil"/>
          <w:bottom w:val="nil"/>
          <w:right w:val="nil"/>
          <w:between w:val="nil"/>
        </w:pBdr>
        <w:spacing w:after="0"/>
        <w:ind w:left="360" w:firstLine="0"/>
        <w:jc w:val="both"/>
        <w:rPr>
          <w:rFonts w:eastAsia="Arial" w:cs="Arial"/>
          <w:b/>
          <w:bCs/>
          <w:color w:val="000000"/>
        </w:rPr>
      </w:pPr>
    </w:p>
    <w:p w14:paraId="42AB38B4" w14:textId="77777777" w:rsidR="00510A52" w:rsidRDefault="001448B2" w:rsidP="00510A52">
      <w:pPr>
        <w:pStyle w:val="Ttulo1"/>
        <w:ind w:firstLine="0"/>
      </w:pPr>
      <w:bookmarkStart w:id="1" w:name="_Toc56987301"/>
      <w:bookmarkStart w:id="2" w:name="_Toc57238597"/>
      <w:r w:rsidRPr="001448B2">
        <w:lastRenderedPageBreak/>
        <w:t>CAPÍTULO 1. ASPECTOS GENERALES.</w:t>
      </w:r>
      <w:bookmarkEnd w:id="1"/>
      <w:bookmarkEnd w:id="2"/>
    </w:p>
    <w:p w14:paraId="365C20FE" w14:textId="501445C8" w:rsidR="0087017A" w:rsidRPr="00510A52" w:rsidRDefault="00510A52" w:rsidP="00510A52">
      <w:pPr>
        <w:pStyle w:val="Ttulo2"/>
      </w:pPr>
      <w:bookmarkStart w:id="3" w:name="_Toc57238598"/>
      <w:r w:rsidRPr="00510A52">
        <w:t xml:space="preserve">1.1 </w:t>
      </w:r>
      <w:r w:rsidR="006371D8" w:rsidRPr="00510A52">
        <w:t>Ubicación geográfica.</w:t>
      </w:r>
      <w:bookmarkEnd w:id="3"/>
    </w:p>
    <w:p w14:paraId="076A8D90" w14:textId="77777777" w:rsidR="0087017A" w:rsidRDefault="006371D8" w:rsidP="00D11B68">
      <w:pPr>
        <w:pBdr>
          <w:top w:val="nil"/>
          <w:left w:val="nil"/>
          <w:bottom w:val="nil"/>
          <w:right w:val="nil"/>
          <w:between w:val="nil"/>
        </w:pBdr>
        <w:spacing w:after="0"/>
        <w:ind w:left="765"/>
        <w:jc w:val="both"/>
        <w:rPr>
          <w:rFonts w:eastAsia="Arial" w:cs="Arial"/>
        </w:rPr>
      </w:pPr>
      <w:r>
        <w:rPr>
          <w:rFonts w:eastAsia="Arial" w:cs="Arial"/>
        </w:rPr>
        <w:t xml:space="preserve">Situada en el sector centro-oriental de Bogotá, la localidad de Los Mártires limita al norte con la localidad de Teusaquillo, con la Avenida Jorge Eliécer Gaitán o Avenida Calle 26 de por medio; al oriente con la localidad de Santa Fe, con la Avenida Caracas o Avenida Carrera 14 de por medio; al sur con la localidad de Antonio Nariño, con la Avenida de la Hortúa o Avenida Calle 1 y la Avenida Fucha o Avenida Calle 8 Sur de por medio; y al occidente con la localidad de Puente Aranda, con la Avenida Ciudad de Quito o Avenida Carrera 30 de por medio. La topografía de Los Mártires es plana a ligeramente ondulada, en su interior no se encuentran estribaciones montañosas. </w:t>
      </w:r>
    </w:p>
    <w:p w14:paraId="6789F8E8" w14:textId="77777777" w:rsidR="00D11B68" w:rsidRDefault="00D11B68" w:rsidP="00D11B68">
      <w:pPr>
        <w:pBdr>
          <w:top w:val="nil"/>
          <w:left w:val="nil"/>
          <w:bottom w:val="nil"/>
          <w:right w:val="nil"/>
          <w:between w:val="nil"/>
        </w:pBdr>
        <w:spacing w:after="0"/>
        <w:ind w:left="765"/>
        <w:jc w:val="both"/>
        <w:rPr>
          <w:rFonts w:eastAsia="Arial" w:cs="Arial"/>
        </w:rPr>
      </w:pPr>
    </w:p>
    <w:p w14:paraId="3DBC6D9D" w14:textId="0FC579EC" w:rsidR="0087017A" w:rsidRDefault="006371D8" w:rsidP="00D11B68">
      <w:pPr>
        <w:pBdr>
          <w:top w:val="nil"/>
          <w:left w:val="nil"/>
          <w:bottom w:val="nil"/>
          <w:right w:val="nil"/>
          <w:between w:val="nil"/>
        </w:pBdr>
        <w:spacing w:after="0"/>
        <w:ind w:left="765"/>
        <w:jc w:val="both"/>
        <w:rPr>
          <w:rFonts w:eastAsia="Arial" w:cs="Arial"/>
        </w:rPr>
      </w:pPr>
      <w:r>
        <w:rPr>
          <w:rFonts w:eastAsia="Arial" w:cs="Arial"/>
        </w:rPr>
        <w:t>Esta localidad tiene una extensión de 651,4 ha, se encuentra subdivida en dos UPZ; siendo la UPZ de La Sabana la de mayor extensión, representando el 69,2% del total (450,9 ha).</w:t>
      </w:r>
    </w:p>
    <w:p w14:paraId="25E30F34" w14:textId="77777777" w:rsidR="00236BCC" w:rsidRDefault="00236BCC" w:rsidP="00D11B68">
      <w:pPr>
        <w:pBdr>
          <w:top w:val="nil"/>
          <w:left w:val="nil"/>
          <w:bottom w:val="nil"/>
          <w:right w:val="nil"/>
          <w:between w:val="nil"/>
        </w:pBdr>
        <w:spacing w:after="0"/>
        <w:ind w:left="765"/>
        <w:jc w:val="both"/>
        <w:rPr>
          <w:rFonts w:eastAsia="Arial" w:cs="Arial"/>
        </w:rPr>
      </w:pPr>
    </w:p>
    <w:p w14:paraId="46E76E59" w14:textId="554258E3" w:rsidR="0087017A" w:rsidRPr="00066F0C" w:rsidRDefault="00510A52" w:rsidP="00510A52">
      <w:pPr>
        <w:pStyle w:val="Ttulo2"/>
      </w:pPr>
      <w:bookmarkStart w:id="4" w:name="_Toc57238599"/>
      <w:r>
        <w:t xml:space="preserve">1.2 </w:t>
      </w:r>
      <w:r w:rsidR="006371D8" w:rsidRPr="00066F0C">
        <w:t>Aspectos territoriales</w:t>
      </w:r>
      <w:r w:rsidR="00066F0C">
        <w:t>.</w:t>
      </w:r>
      <w:bookmarkEnd w:id="4"/>
    </w:p>
    <w:p w14:paraId="3781238D" w14:textId="77777777" w:rsidR="0087017A" w:rsidRDefault="006371D8" w:rsidP="00D11B68">
      <w:pPr>
        <w:pBdr>
          <w:top w:val="nil"/>
          <w:left w:val="nil"/>
          <w:bottom w:val="nil"/>
          <w:right w:val="nil"/>
          <w:between w:val="nil"/>
        </w:pBdr>
        <w:spacing w:after="0"/>
        <w:ind w:left="765"/>
        <w:jc w:val="both"/>
        <w:rPr>
          <w:rFonts w:eastAsia="Arial" w:cs="Arial"/>
        </w:rPr>
      </w:pPr>
      <w:r>
        <w:rPr>
          <w:rFonts w:eastAsia="Arial" w:cs="Arial"/>
        </w:rPr>
        <w:t>El suelo urbano se conforma de las áreas con usos urbanos dotadas de infraestructura vial y redes de servicios públicos domiciliarios que permiten su urbanización y edificación. El suelo de expansión urbana corresponde a territorios que podrán habilitarse para usos urbanos mediante planes parciales durante la vigencia del POT. El suelo rural se compone de los terrenos en donde no es apto el uso urbano por estar destinado a usos agropecuarios, forestales, de explotación de recursos naturales, entre otros. La localidad de Los Mártires tiene una extensión de 651,4 hectáreas, de las cuales la totalidad es de suelo urbano. No posee suelo rural ni de expansión.</w:t>
      </w:r>
    </w:p>
    <w:p w14:paraId="703DA7A5" w14:textId="77777777" w:rsidR="0087017A" w:rsidRDefault="0087017A" w:rsidP="006371D8">
      <w:pPr>
        <w:pBdr>
          <w:top w:val="nil"/>
          <w:left w:val="nil"/>
          <w:bottom w:val="nil"/>
          <w:right w:val="nil"/>
          <w:between w:val="nil"/>
        </w:pBdr>
        <w:spacing w:after="0" w:line="480" w:lineRule="auto"/>
        <w:ind w:left="765"/>
        <w:jc w:val="both"/>
        <w:rPr>
          <w:rFonts w:eastAsia="Arial" w:cs="Arial"/>
        </w:rPr>
      </w:pPr>
    </w:p>
    <w:p w14:paraId="08555377" w14:textId="219C4C2F" w:rsidR="0087017A" w:rsidRDefault="0087017A" w:rsidP="006371D8">
      <w:pPr>
        <w:pBdr>
          <w:top w:val="nil"/>
          <w:left w:val="nil"/>
          <w:bottom w:val="nil"/>
          <w:right w:val="nil"/>
          <w:between w:val="nil"/>
        </w:pBdr>
        <w:spacing w:after="0" w:line="480" w:lineRule="auto"/>
        <w:ind w:left="765"/>
        <w:jc w:val="both"/>
        <w:rPr>
          <w:rFonts w:eastAsia="Arial" w:cs="Arial"/>
        </w:rPr>
      </w:pPr>
    </w:p>
    <w:p w14:paraId="4C6FACB5" w14:textId="78E0F893" w:rsidR="0087017A" w:rsidRDefault="0087017A" w:rsidP="006371D8">
      <w:pPr>
        <w:pBdr>
          <w:top w:val="nil"/>
          <w:left w:val="nil"/>
          <w:bottom w:val="nil"/>
          <w:right w:val="nil"/>
          <w:between w:val="nil"/>
        </w:pBdr>
        <w:spacing w:after="0" w:line="480" w:lineRule="auto"/>
        <w:ind w:left="765"/>
        <w:jc w:val="both"/>
        <w:rPr>
          <w:rFonts w:eastAsia="Arial" w:cs="Arial"/>
        </w:rPr>
      </w:pPr>
    </w:p>
    <w:p w14:paraId="73418999" w14:textId="0F43DD64" w:rsidR="0087017A" w:rsidRDefault="0087017A" w:rsidP="006371D8">
      <w:pPr>
        <w:pBdr>
          <w:top w:val="nil"/>
          <w:left w:val="nil"/>
          <w:bottom w:val="nil"/>
          <w:right w:val="nil"/>
          <w:between w:val="nil"/>
        </w:pBdr>
        <w:spacing w:after="0" w:line="480" w:lineRule="auto"/>
        <w:ind w:left="765"/>
        <w:jc w:val="both"/>
        <w:rPr>
          <w:rFonts w:eastAsia="Arial" w:cs="Arial"/>
        </w:rPr>
      </w:pPr>
    </w:p>
    <w:p w14:paraId="3448975D" w14:textId="4E3FA246" w:rsidR="0087017A" w:rsidRDefault="0087017A" w:rsidP="006371D8">
      <w:pPr>
        <w:pBdr>
          <w:top w:val="nil"/>
          <w:left w:val="nil"/>
          <w:bottom w:val="nil"/>
          <w:right w:val="nil"/>
          <w:between w:val="nil"/>
        </w:pBdr>
        <w:spacing w:after="0" w:line="480" w:lineRule="auto"/>
        <w:ind w:left="765"/>
        <w:jc w:val="both"/>
        <w:rPr>
          <w:rFonts w:eastAsia="Arial" w:cs="Arial"/>
        </w:rPr>
      </w:pPr>
    </w:p>
    <w:p w14:paraId="3735CD94" w14:textId="6DD1D859" w:rsidR="0087017A" w:rsidRDefault="0087017A" w:rsidP="0060270D">
      <w:pPr>
        <w:pBdr>
          <w:top w:val="nil"/>
          <w:left w:val="nil"/>
          <w:bottom w:val="nil"/>
          <w:right w:val="nil"/>
          <w:between w:val="nil"/>
        </w:pBdr>
        <w:spacing w:after="0" w:line="480" w:lineRule="auto"/>
        <w:ind w:left="765"/>
        <w:jc w:val="both"/>
        <w:rPr>
          <w:rFonts w:eastAsia="Arial" w:cs="Arial"/>
        </w:rPr>
      </w:pPr>
    </w:p>
    <w:p w14:paraId="6BDE1B6E" w14:textId="14618539" w:rsidR="00CF6ABE" w:rsidRDefault="00CF6ABE" w:rsidP="0060270D">
      <w:pPr>
        <w:pBdr>
          <w:top w:val="nil"/>
          <w:left w:val="nil"/>
          <w:bottom w:val="nil"/>
          <w:right w:val="nil"/>
          <w:between w:val="nil"/>
        </w:pBdr>
        <w:spacing w:after="0" w:line="480" w:lineRule="auto"/>
        <w:ind w:left="765"/>
        <w:jc w:val="both"/>
        <w:rPr>
          <w:rFonts w:eastAsia="Arial" w:cs="Arial"/>
        </w:rPr>
      </w:pPr>
    </w:p>
    <w:p w14:paraId="1759E351" w14:textId="3986212F" w:rsidR="00CF6ABE" w:rsidRDefault="00CF6ABE" w:rsidP="0060270D">
      <w:pPr>
        <w:pBdr>
          <w:top w:val="nil"/>
          <w:left w:val="nil"/>
          <w:bottom w:val="nil"/>
          <w:right w:val="nil"/>
          <w:between w:val="nil"/>
        </w:pBdr>
        <w:spacing w:after="0" w:line="480" w:lineRule="auto"/>
        <w:ind w:left="765"/>
        <w:jc w:val="both"/>
        <w:rPr>
          <w:rFonts w:eastAsia="Arial" w:cs="Arial"/>
        </w:rPr>
      </w:pPr>
    </w:p>
    <w:p w14:paraId="3193AF0F" w14:textId="52F9B2CF" w:rsidR="00CF6ABE" w:rsidRDefault="005F7A1A" w:rsidP="0060270D">
      <w:pPr>
        <w:pBdr>
          <w:top w:val="nil"/>
          <w:left w:val="nil"/>
          <w:bottom w:val="nil"/>
          <w:right w:val="nil"/>
          <w:between w:val="nil"/>
        </w:pBdr>
        <w:spacing w:after="0" w:line="480" w:lineRule="auto"/>
        <w:ind w:left="765"/>
        <w:jc w:val="both"/>
        <w:rPr>
          <w:rFonts w:eastAsia="Arial" w:cs="Arial"/>
        </w:rPr>
      </w:pPr>
      <w:r>
        <w:rPr>
          <w:noProof/>
        </w:rPr>
        <mc:AlternateContent>
          <mc:Choice Requires="wps">
            <w:drawing>
              <wp:anchor distT="0" distB="0" distL="114300" distR="114300" simplePos="0" relativeHeight="251692032" behindDoc="0" locked="0" layoutInCell="1" allowOverlap="1" wp14:anchorId="504D9C25" wp14:editId="123ABCF5">
                <wp:simplePos x="0" y="0"/>
                <wp:positionH relativeFrom="column">
                  <wp:posOffset>674370</wp:posOffset>
                </wp:positionH>
                <wp:positionV relativeFrom="paragraph">
                  <wp:posOffset>6977380</wp:posOffset>
                </wp:positionV>
                <wp:extent cx="4844415" cy="635"/>
                <wp:effectExtent l="0" t="0" r="0" b="0"/>
                <wp:wrapSquare wrapText="bothSides"/>
                <wp:docPr id="12" name="Cuadro de texto 12"/>
                <wp:cNvGraphicFramePr/>
                <a:graphic xmlns:a="http://schemas.openxmlformats.org/drawingml/2006/main">
                  <a:graphicData uri="http://schemas.microsoft.com/office/word/2010/wordprocessingShape">
                    <wps:wsp>
                      <wps:cNvSpPr txBox="1"/>
                      <wps:spPr>
                        <a:xfrm>
                          <a:off x="0" y="0"/>
                          <a:ext cx="4844415" cy="635"/>
                        </a:xfrm>
                        <a:prstGeom prst="rect">
                          <a:avLst/>
                        </a:prstGeom>
                        <a:solidFill>
                          <a:prstClr val="white"/>
                        </a:solidFill>
                        <a:ln>
                          <a:noFill/>
                        </a:ln>
                      </wps:spPr>
                      <wps:txbx>
                        <w:txbxContent>
                          <w:p w14:paraId="16945125" w14:textId="2B9892EE" w:rsidR="00ED57B1" w:rsidRPr="00734685" w:rsidRDefault="00ED57B1" w:rsidP="005F7A1A">
                            <w:pPr>
                              <w:pStyle w:val="Descripcin"/>
                              <w:spacing w:after="0"/>
                              <w:jc w:val="center"/>
                              <w:rPr>
                                <w:rFonts w:eastAsia="Arial" w:cs="Arial"/>
                                <w:noProof/>
                              </w:rPr>
                            </w:pPr>
                            <w:bookmarkStart w:id="5" w:name="_Toc57223719"/>
                            <w:r w:rsidRPr="005F7A1A">
                              <w:rPr>
                                <w:color w:val="auto"/>
                              </w:rPr>
                              <w:t xml:space="preserve">Ilustración </w:t>
                            </w:r>
                            <w:r w:rsidRPr="005F7A1A">
                              <w:rPr>
                                <w:color w:val="auto"/>
                              </w:rPr>
                              <w:fldChar w:fldCharType="begin"/>
                            </w:r>
                            <w:r w:rsidRPr="005F7A1A">
                              <w:rPr>
                                <w:color w:val="auto"/>
                              </w:rPr>
                              <w:instrText xml:space="preserve"> SEQ Ilustración \* ARABIC </w:instrText>
                            </w:r>
                            <w:r w:rsidRPr="005F7A1A">
                              <w:rPr>
                                <w:color w:val="auto"/>
                              </w:rPr>
                              <w:fldChar w:fldCharType="separate"/>
                            </w:r>
                            <w:r>
                              <w:rPr>
                                <w:noProof/>
                                <w:color w:val="auto"/>
                              </w:rPr>
                              <w:t>1</w:t>
                            </w:r>
                            <w:r w:rsidRPr="005F7A1A">
                              <w:rPr>
                                <w:color w:val="auto"/>
                              </w:rPr>
                              <w:fldChar w:fldCharType="end"/>
                            </w:r>
                            <w:r w:rsidRPr="005F7A1A">
                              <w:rPr>
                                <w:color w:val="auto"/>
                              </w:rPr>
                              <w:t>.Clasificación del suelo</w:t>
                            </w:r>
                            <w:r w:rsidRPr="00C6509C">
                              <w:t>.</w:t>
                            </w:r>
                            <w:bookmarkEnd w:id="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04D9C25" id="_x0000_t202" coordsize="21600,21600" o:spt="202" path="m,l,21600r21600,l21600,xe">
                <v:stroke joinstyle="miter"/>
                <v:path gradientshapeok="t" o:connecttype="rect"/>
              </v:shapetype>
              <v:shape id="Cuadro de texto 12" o:spid="_x0000_s1034" type="#_x0000_t202" style="position:absolute;left:0;text-align:left;margin-left:53.1pt;margin-top:549.4pt;width:381.45pt;height:.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" stroked="f">
                <v:textbox style="mso-fit-shape-to-text:t" inset="0,0,0,0">
                  <w:txbxContent>
                    <w:p w14:paraId="16945125" w14:textId="2B9892EE" w:rsidR="00ED57B1" w:rsidRPr="00734685" w:rsidRDefault="00ED57B1" w:rsidP="005F7A1A">
                      <w:pPr>
                        <w:pStyle w:val="Descripcin"/>
                        <w:spacing w:after="0"/>
                        <w:jc w:val="center"/>
                        <w:rPr>
                          <w:rFonts w:eastAsia="Arial" w:cs="Arial"/>
                          <w:noProof/>
                        </w:rPr>
                      </w:pPr>
                      <w:bookmarkStart w:id="6" w:name="_Toc57223719"/>
                      <w:r w:rsidRPr="005F7A1A">
                        <w:rPr>
                          <w:color w:val="auto"/>
                        </w:rPr>
                        <w:t xml:space="preserve">Ilustración </w:t>
                      </w:r>
                      <w:r w:rsidRPr="005F7A1A">
                        <w:rPr>
                          <w:color w:val="auto"/>
                        </w:rPr>
                        <w:fldChar w:fldCharType="begin"/>
                      </w:r>
                      <w:r w:rsidRPr="005F7A1A">
                        <w:rPr>
                          <w:color w:val="auto"/>
                        </w:rPr>
                        <w:instrText xml:space="preserve"> SEQ Ilustración \* ARABIC </w:instrText>
                      </w:r>
                      <w:r w:rsidRPr="005F7A1A">
                        <w:rPr>
                          <w:color w:val="auto"/>
                        </w:rPr>
                        <w:fldChar w:fldCharType="separate"/>
                      </w:r>
                      <w:r>
                        <w:rPr>
                          <w:noProof/>
                          <w:color w:val="auto"/>
                        </w:rPr>
                        <w:t>1</w:t>
                      </w:r>
                      <w:r w:rsidRPr="005F7A1A">
                        <w:rPr>
                          <w:color w:val="auto"/>
                        </w:rPr>
                        <w:fldChar w:fldCharType="end"/>
                      </w:r>
                      <w:r w:rsidRPr="005F7A1A">
                        <w:rPr>
                          <w:color w:val="auto"/>
                        </w:rPr>
                        <w:t>.Clasificación del suelo</w:t>
                      </w:r>
                      <w:r w:rsidRPr="00C6509C">
                        <w:t>.</w:t>
                      </w:r>
                      <w:bookmarkEnd w:id="6"/>
                    </w:p>
                  </w:txbxContent>
                </v:textbox>
                <w10:wrap type="square"/>
              </v:shape>
            </w:pict>
          </mc:Fallback>
        </mc:AlternateContent>
      </w:r>
      <w:r w:rsidR="008847EB">
        <w:rPr>
          <w:rFonts w:eastAsia="Arial" w:cs="Arial"/>
          <w:noProof/>
        </w:rPr>
        <w:drawing>
          <wp:anchor distT="0" distB="0" distL="114300" distR="114300" simplePos="0" relativeHeight="251668480" behindDoc="0" locked="0" layoutInCell="1" allowOverlap="1" wp14:anchorId="494D6B90" wp14:editId="739E6649">
            <wp:simplePos x="0" y="0"/>
            <wp:positionH relativeFrom="margin">
              <wp:posOffset>674551</wp:posOffset>
            </wp:positionH>
            <wp:positionV relativeFrom="margin">
              <wp:posOffset>371475</wp:posOffset>
            </wp:positionV>
            <wp:extent cx="4844415" cy="6870065"/>
            <wp:effectExtent l="0" t="0" r="0" b="6985"/>
            <wp:wrapSquare wrapText="bothSides"/>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44415" cy="6870065"/>
                    </a:xfrm>
                    <a:prstGeom prst="rect">
                      <a:avLst/>
                    </a:prstGeom>
                    <a:noFill/>
                    <a:ln>
                      <a:noFill/>
                    </a:ln>
                  </pic:spPr>
                </pic:pic>
              </a:graphicData>
            </a:graphic>
          </wp:anchor>
        </w:drawing>
      </w:r>
    </w:p>
    <w:p w14:paraId="2FC28EFA" w14:textId="55F3C8D6" w:rsidR="00CF6ABE" w:rsidRDefault="00CF6ABE" w:rsidP="0060270D">
      <w:pPr>
        <w:pBdr>
          <w:top w:val="nil"/>
          <w:left w:val="nil"/>
          <w:bottom w:val="nil"/>
          <w:right w:val="nil"/>
          <w:between w:val="nil"/>
        </w:pBdr>
        <w:spacing w:after="0" w:line="480" w:lineRule="auto"/>
        <w:ind w:left="765"/>
        <w:jc w:val="both"/>
        <w:rPr>
          <w:rFonts w:eastAsia="Arial" w:cs="Arial"/>
        </w:rPr>
      </w:pPr>
    </w:p>
    <w:p w14:paraId="046CA68B" w14:textId="573DCC15" w:rsidR="00CF6ABE" w:rsidRDefault="00CF6ABE" w:rsidP="0060270D">
      <w:pPr>
        <w:pBdr>
          <w:top w:val="nil"/>
          <w:left w:val="nil"/>
          <w:bottom w:val="nil"/>
          <w:right w:val="nil"/>
          <w:between w:val="nil"/>
        </w:pBdr>
        <w:spacing w:after="0" w:line="480" w:lineRule="auto"/>
        <w:ind w:left="765"/>
        <w:jc w:val="both"/>
        <w:rPr>
          <w:rFonts w:eastAsia="Arial" w:cs="Arial"/>
        </w:rPr>
      </w:pPr>
    </w:p>
    <w:p w14:paraId="78CB1432" w14:textId="21D2C8D0" w:rsidR="00CF6ABE" w:rsidRDefault="00CF6ABE" w:rsidP="0060270D">
      <w:pPr>
        <w:pBdr>
          <w:top w:val="nil"/>
          <w:left w:val="nil"/>
          <w:bottom w:val="nil"/>
          <w:right w:val="nil"/>
          <w:between w:val="nil"/>
        </w:pBdr>
        <w:spacing w:after="0" w:line="480" w:lineRule="auto"/>
        <w:ind w:left="765"/>
        <w:jc w:val="both"/>
        <w:rPr>
          <w:rFonts w:eastAsia="Arial" w:cs="Arial"/>
        </w:rPr>
      </w:pPr>
    </w:p>
    <w:p w14:paraId="2E6E96C6" w14:textId="639B0125" w:rsidR="00CF6ABE" w:rsidRDefault="00CF6ABE" w:rsidP="0060270D">
      <w:pPr>
        <w:pBdr>
          <w:top w:val="nil"/>
          <w:left w:val="nil"/>
          <w:bottom w:val="nil"/>
          <w:right w:val="nil"/>
          <w:between w:val="nil"/>
        </w:pBdr>
        <w:spacing w:after="0" w:line="480" w:lineRule="auto"/>
        <w:ind w:left="765"/>
        <w:jc w:val="both"/>
        <w:rPr>
          <w:rFonts w:eastAsia="Arial" w:cs="Arial"/>
        </w:rPr>
      </w:pPr>
    </w:p>
    <w:p w14:paraId="4C87D2C4" w14:textId="11AD7961" w:rsidR="00CF6ABE" w:rsidRDefault="00CF6ABE" w:rsidP="0060270D">
      <w:pPr>
        <w:pBdr>
          <w:top w:val="nil"/>
          <w:left w:val="nil"/>
          <w:bottom w:val="nil"/>
          <w:right w:val="nil"/>
          <w:between w:val="nil"/>
        </w:pBdr>
        <w:spacing w:after="0" w:line="480" w:lineRule="auto"/>
        <w:ind w:left="765"/>
        <w:jc w:val="both"/>
        <w:rPr>
          <w:rFonts w:eastAsia="Arial" w:cs="Arial"/>
        </w:rPr>
      </w:pPr>
    </w:p>
    <w:p w14:paraId="47163F5A" w14:textId="3B89339E" w:rsidR="00CF6ABE" w:rsidRDefault="00CF6ABE" w:rsidP="0060270D">
      <w:pPr>
        <w:pBdr>
          <w:top w:val="nil"/>
          <w:left w:val="nil"/>
          <w:bottom w:val="nil"/>
          <w:right w:val="nil"/>
          <w:between w:val="nil"/>
        </w:pBdr>
        <w:spacing w:after="0" w:line="480" w:lineRule="auto"/>
        <w:ind w:left="765"/>
        <w:jc w:val="both"/>
        <w:rPr>
          <w:rFonts w:eastAsia="Arial" w:cs="Arial"/>
        </w:rPr>
      </w:pPr>
    </w:p>
    <w:p w14:paraId="198DF8A9" w14:textId="76893113" w:rsidR="00CF6ABE" w:rsidRDefault="00CF6ABE" w:rsidP="0060270D">
      <w:pPr>
        <w:pBdr>
          <w:top w:val="nil"/>
          <w:left w:val="nil"/>
          <w:bottom w:val="nil"/>
          <w:right w:val="nil"/>
          <w:between w:val="nil"/>
        </w:pBdr>
        <w:spacing w:after="0" w:line="480" w:lineRule="auto"/>
        <w:ind w:left="765"/>
        <w:jc w:val="both"/>
        <w:rPr>
          <w:rFonts w:eastAsia="Arial" w:cs="Arial"/>
        </w:rPr>
      </w:pPr>
    </w:p>
    <w:p w14:paraId="082CA343" w14:textId="337FF079" w:rsidR="00CF6ABE" w:rsidRDefault="00CF6ABE" w:rsidP="0060270D">
      <w:pPr>
        <w:pBdr>
          <w:top w:val="nil"/>
          <w:left w:val="nil"/>
          <w:bottom w:val="nil"/>
          <w:right w:val="nil"/>
          <w:between w:val="nil"/>
        </w:pBdr>
        <w:spacing w:after="0" w:line="480" w:lineRule="auto"/>
        <w:ind w:left="765"/>
        <w:jc w:val="both"/>
        <w:rPr>
          <w:rFonts w:eastAsia="Arial" w:cs="Arial"/>
        </w:rPr>
      </w:pPr>
    </w:p>
    <w:p w14:paraId="4E390F19" w14:textId="7E05144F" w:rsidR="00CF6ABE" w:rsidRDefault="00CF6ABE" w:rsidP="0060270D">
      <w:pPr>
        <w:pBdr>
          <w:top w:val="nil"/>
          <w:left w:val="nil"/>
          <w:bottom w:val="nil"/>
          <w:right w:val="nil"/>
          <w:between w:val="nil"/>
        </w:pBdr>
        <w:spacing w:after="0" w:line="480" w:lineRule="auto"/>
        <w:ind w:left="765"/>
        <w:jc w:val="both"/>
        <w:rPr>
          <w:rFonts w:eastAsia="Arial" w:cs="Arial"/>
        </w:rPr>
      </w:pPr>
    </w:p>
    <w:p w14:paraId="23E91FEC" w14:textId="417A7913" w:rsidR="00CF6ABE" w:rsidRDefault="00CF6ABE" w:rsidP="0060270D">
      <w:pPr>
        <w:pBdr>
          <w:top w:val="nil"/>
          <w:left w:val="nil"/>
          <w:bottom w:val="nil"/>
          <w:right w:val="nil"/>
          <w:between w:val="nil"/>
        </w:pBdr>
        <w:spacing w:after="0" w:line="480" w:lineRule="auto"/>
        <w:ind w:left="765"/>
        <w:jc w:val="both"/>
        <w:rPr>
          <w:rFonts w:eastAsia="Arial" w:cs="Arial"/>
        </w:rPr>
      </w:pPr>
    </w:p>
    <w:p w14:paraId="1283ADAA" w14:textId="60AA0B7A" w:rsidR="00CF6ABE" w:rsidRDefault="00CF6ABE" w:rsidP="0060270D">
      <w:pPr>
        <w:pBdr>
          <w:top w:val="nil"/>
          <w:left w:val="nil"/>
          <w:bottom w:val="nil"/>
          <w:right w:val="nil"/>
          <w:between w:val="nil"/>
        </w:pBdr>
        <w:spacing w:after="0" w:line="480" w:lineRule="auto"/>
        <w:ind w:left="765"/>
        <w:jc w:val="both"/>
        <w:rPr>
          <w:rFonts w:eastAsia="Arial" w:cs="Arial"/>
        </w:rPr>
      </w:pPr>
    </w:p>
    <w:p w14:paraId="7687346A" w14:textId="3BF2B255" w:rsidR="00CF6ABE" w:rsidRDefault="00CF6ABE" w:rsidP="0060270D">
      <w:pPr>
        <w:pBdr>
          <w:top w:val="nil"/>
          <w:left w:val="nil"/>
          <w:bottom w:val="nil"/>
          <w:right w:val="nil"/>
          <w:between w:val="nil"/>
        </w:pBdr>
        <w:spacing w:after="0" w:line="480" w:lineRule="auto"/>
        <w:ind w:left="765"/>
        <w:jc w:val="both"/>
        <w:rPr>
          <w:rFonts w:eastAsia="Arial" w:cs="Arial"/>
        </w:rPr>
      </w:pPr>
    </w:p>
    <w:p w14:paraId="68B0290A" w14:textId="49234D62" w:rsidR="00CF6ABE" w:rsidRDefault="00CF6ABE" w:rsidP="0060270D">
      <w:pPr>
        <w:pBdr>
          <w:top w:val="nil"/>
          <w:left w:val="nil"/>
          <w:bottom w:val="nil"/>
          <w:right w:val="nil"/>
          <w:between w:val="nil"/>
        </w:pBdr>
        <w:spacing w:after="0" w:line="480" w:lineRule="auto"/>
        <w:ind w:left="765"/>
        <w:jc w:val="both"/>
        <w:rPr>
          <w:rFonts w:eastAsia="Arial" w:cs="Arial"/>
        </w:rPr>
      </w:pPr>
    </w:p>
    <w:p w14:paraId="6A5C7FE4" w14:textId="79A33F1E" w:rsidR="00CF6ABE" w:rsidRDefault="00CF6ABE" w:rsidP="0060270D">
      <w:pPr>
        <w:pBdr>
          <w:top w:val="nil"/>
          <w:left w:val="nil"/>
          <w:bottom w:val="nil"/>
          <w:right w:val="nil"/>
          <w:between w:val="nil"/>
        </w:pBdr>
        <w:spacing w:after="0" w:line="480" w:lineRule="auto"/>
        <w:ind w:left="765"/>
        <w:jc w:val="both"/>
        <w:rPr>
          <w:rFonts w:eastAsia="Arial" w:cs="Arial"/>
        </w:rPr>
      </w:pPr>
    </w:p>
    <w:p w14:paraId="06B95451" w14:textId="0EE468FE" w:rsidR="00CF6ABE" w:rsidRDefault="00CF6ABE" w:rsidP="0060270D">
      <w:pPr>
        <w:pBdr>
          <w:top w:val="nil"/>
          <w:left w:val="nil"/>
          <w:bottom w:val="nil"/>
          <w:right w:val="nil"/>
          <w:between w:val="nil"/>
        </w:pBdr>
        <w:spacing w:after="0" w:line="480" w:lineRule="auto"/>
        <w:ind w:left="765"/>
        <w:jc w:val="both"/>
        <w:rPr>
          <w:rFonts w:eastAsia="Arial" w:cs="Arial"/>
        </w:rPr>
      </w:pPr>
    </w:p>
    <w:p w14:paraId="6B9C8946" w14:textId="09F3F68A" w:rsidR="00CF6ABE" w:rsidRPr="00BA7A12" w:rsidRDefault="00CF6ABE" w:rsidP="008847EB">
      <w:pPr>
        <w:pBdr>
          <w:top w:val="nil"/>
          <w:left w:val="nil"/>
          <w:bottom w:val="nil"/>
          <w:right w:val="nil"/>
          <w:between w:val="nil"/>
        </w:pBdr>
        <w:spacing w:after="0" w:line="240" w:lineRule="auto"/>
        <w:ind w:left="426"/>
        <w:jc w:val="center"/>
        <w:rPr>
          <w:rFonts w:eastAsia="Arial" w:cs="Arial"/>
          <w:sz w:val="18"/>
          <w:szCs w:val="18"/>
        </w:rPr>
      </w:pPr>
    </w:p>
    <w:p w14:paraId="3C961AE7" w14:textId="10087D6F" w:rsidR="00FC6DA0" w:rsidRPr="00F00482" w:rsidRDefault="00FC6DA0" w:rsidP="008847EB">
      <w:pPr>
        <w:pBdr>
          <w:top w:val="nil"/>
          <w:left w:val="nil"/>
          <w:bottom w:val="nil"/>
          <w:right w:val="nil"/>
          <w:between w:val="nil"/>
        </w:pBdr>
        <w:spacing w:after="0" w:line="240" w:lineRule="auto"/>
        <w:ind w:left="426"/>
        <w:jc w:val="center"/>
        <w:rPr>
          <w:rFonts w:eastAsia="Arial" w:cs="Arial"/>
          <w:i/>
          <w:iCs/>
          <w:sz w:val="18"/>
          <w:szCs w:val="18"/>
        </w:rPr>
      </w:pPr>
      <w:r w:rsidRPr="00F00482">
        <w:rPr>
          <w:rFonts w:eastAsia="Arial" w:cs="Arial"/>
          <w:i/>
          <w:iCs/>
          <w:sz w:val="18"/>
          <w:szCs w:val="18"/>
        </w:rPr>
        <w:t>Fuente: Monografía de localidades. No 14 Los Mártires.</w:t>
      </w:r>
    </w:p>
    <w:p w14:paraId="3417604F" w14:textId="73E2CDD3" w:rsidR="00CF6ABE" w:rsidRDefault="00CF6ABE" w:rsidP="008847EB">
      <w:pPr>
        <w:pBdr>
          <w:top w:val="nil"/>
          <w:left w:val="nil"/>
          <w:bottom w:val="nil"/>
          <w:right w:val="nil"/>
          <w:between w:val="nil"/>
        </w:pBdr>
        <w:spacing w:after="0"/>
        <w:ind w:left="765"/>
        <w:jc w:val="center"/>
        <w:rPr>
          <w:rFonts w:eastAsia="Arial" w:cs="Arial"/>
        </w:rPr>
      </w:pPr>
    </w:p>
    <w:p w14:paraId="5EFF1B86" w14:textId="12CB07C6" w:rsidR="00BA64A2" w:rsidRDefault="00BA64A2" w:rsidP="0060270D">
      <w:pPr>
        <w:pBdr>
          <w:top w:val="nil"/>
          <w:left w:val="nil"/>
          <w:bottom w:val="nil"/>
          <w:right w:val="nil"/>
          <w:between w:val="nil"/>
        </w:pBdr>
        <w:spacing w:after="0" w:line="480" w:lineRule="auto"/>
        <w:ind w:left="765"/>
        <w:jc w:val="both"/>
        <w:rPr>
          <w:rFonts w:eastAsia="Arial" w:cs="Arial"/>
        </w:rPr>
      </w:pPr>
    </w:p>
    <w:p w14:paraId="39C8FDA0" w14:textId="77777777" w:rsidR="00E96915" w:rsidRDefault="00E96915" w:rsidP="00E96915">
      <w:pPr>
        <w:pBdr>
          <w:top w:val="nil"/>
          <w:left w:val="nil"/>
          <w:bottom w:val="nil"/>
          <w:right w:val="nil"/>
          <w:between w:val="nil"/>
        </w:pBdr>
        <w:spacing w:after="0"/>
        <w:ind w:firstLine="0"/>
        <w:jc w:val="both"/>
        <w:rPr>
          <w:rFonts w:eastAsia="Arial" w:cs="Arial"/>
        </w:rPr>
      </w:pPr>
    </w:p>
    <w:p w14:paraId="3A0044B3" w14:textId="1F9C452A" w:rsidR="0087017A" w:rsidRPr="00066F0C" w:rsidRDefault="00E96915" w:rsidP="00E96915">
      <w:pPr>
        <w:pStyle w:val="Ttulo2"/>
      </w:pPr>
      <w:bookmarkStart w:id="6" w:name="_Toc57238600"/>
      <w:r>
        <w:t xml:space="preserve">1.3 </w:t>
      </w:r>
      <w:r w:rsidR="006371D8" w:rsidRPr="00066F0C">
        <w:t>Reseña histórica.</w:t>
      </w:r>
      <w:bookmarkEnd w:id="6"/>
    </w:p>
    <w:p w14:paraId="37585840" w14:textId="77777777" w:rsidR="0087017A" w:rsidRDefault="0087017A" w:rsidP="00236BCC">
      <w:pPr>
        <w:pBdr>
          <w:top w:val="nil"/>
          <w:left w:val="nil"/>
          <w:bottom w:val="nil"/>
          <w:right w:val="nil"/>
          <w:between w:val="nil"/>
        </w:pBdr>
        <w:spacing w:after="0"/>
        <w:ind w:left="765"/>
        <w:jc w:val="both"/>
        <w:rPr>
          <w:rFonts w:eastAsia="Arial" w:cs="Arial"/>
        </w:rPr>
      </w:pPr>
    </w:p>
    <w:p w14:paraId="533E6531" w14:textId="77777777" w:rsidR="0087017A" w:rsidRDefault="006371D8" w:rsidP="00236BCC">
      <w:pPr>
        <w:pBdr>
          <w:top w:val="nil"/>
          <w:left w:val="nil"/>
          <w:bottom w:val="nil"/>
          <w:right w:val="nil"/>
          <w:between w:val="nil"/>
        </w:pBdr>
        <w:spacing w:after="0"/>
        <w:ind w:left="765"/>
        <w:jc w:val="both"/>
        <w:rPr>
          <w:rFonts w:eastAsia="Arial" w:cs="Arial"/>
        </w:rPr>
      </w:pPr>
      <w:r>
        <w:rPr>
          <w:rFonts w:eastAsia="Arial" w:cs="Arial"/>
        </w:rPr>
        <w:t xml:space="preserve">El origen de Los Mártires se remonta a la Fundación de Bogotá, debido a que en su territorio se extendía el área rural de Bacatá. A lo largo de 300 años, el espacio urbano que hoy se conoce como localidad de Los Mártires no sufrió en su estructura física mayores cambios y permaneció estático en el tiempo, debido a la preponderancia del uso rural del suelo, cuyo dominio sobre la propiedad se hacía de modo latifundista (Cardeño.1999:17). </w:t>
      </w:r>
    </w:p>
    <w:p w14:paraId="1BBCEFC1" w14:textId="77777777" w:rsidR="0087017A" w:rsidRDefault="0087017A" w:rsidP="00236BCC">
      <w:pPr>
        <w:pBdr>
          <w:top w:val="nil"/>
          <w:left w:val="nil"/>
          <w:bottom w:val="nil"/>
          <w:right w:val="nil"/>
          <w:between w:val="nil"/>
        </w:pBdr>
        <w:spacing w:after="0"/>
        <w:ind w:left="765"/>
        <w:jc w:val="both"/>
        <w:rPr>
          <w:rFonts w:eastAsia="Arial" w:cs="Arial"/>
        </w:rPr>
      </w:pPr>
    </w:p>
    <w:p w14:paraId="3A46889E" w14:textId="77777777" w:rsidR="0087017A" w:rsidRDefault="006371D8" w:rsidP="00236BCC">
      <w:pPr>
        <w:pBdr>
          <w:top w:val="nil"/>
          <w:left w:val="nil"/>
          <w:bottom w:val="nil"/>
          <w:right w:val="nil"/>
          <w:between w:val="nil"/>
        </w:pBdr>
        <w:spacing w:after="0"/>
        <w:ind w:left="765"/>
        <w:jc w:val="both"/>
        <w:rPr>
          <w:rFonts w:eastAsia="Arial" w:cs="Arial"/>
        </w:rPr>
      </w:pPr>
      <w:r>
        <w:rPr>
          <w:rFonts w:eastAsia="Arial" w:cs="Arial"/>
        </w:rPr>
        <w:t xml:space="preserve">El primer referente histórico importante es la construcción de la Iglesia de San Victorino en 1580 en lo que se conoce actualmente como Plaza Homónima siendo, de las cuatro parroquias de Santafé la que menos influencia de población recibía debido al desarrollo lento de la época. </w:t>
      </w:r>
    </w:p>
    <w:p w14:paraId="3EF3F682" w14:textId="77777777" w:rsidR="0087017A" w:rsidRDefault="0087017A" w:rsidP="00236BCC">
      <w:pPr>
        <w:pBdr>
          <w:top w:val="nil"/>
          <w:left w:val="nil"/>
          <w:bottom w:val="nil"/>
          <w:right w:val="nil"/>
          <w:between w:val="nil"/>
        </w:pBdr>
        <w:spacing w:after="0"/>
        <w:ind w:left="765"/>
        <w:jc w:val="both"/>
        <w:rPr>
          <w:rFonts w:eastAsia="Arial" w:cs="Arial"/>
        </w:rPr>
      </w:pPr>
    </w:p>
    <w:p w14:paraId="30449C4A" w14:textId="77777777" w:rsidR="0087017A" w:rsidRDefault="006371D8" w:rsidP="00236BCC">
      <w:pPr>
        <w:pBdr>
          <w:top w:val="nil"/>
          <w:left w:val="nil"/>
          <w:bottom w:val="nil"/>
          <w:right w:val="nil"/>
          <w:between w:val="nil"/>
        </w:pBdr>
        <w:spacing w:after="0"/>
        <w:ind w:left="765"/>
        <w:jc w:val="both"/>
        <w:rPr>
          <w:rFonts w:eastAsia="Arial" w:cs="Arial"/>
        </w:rPr>
      </w:pPr>
      <w:r>
        <w:rPr>
          <w:rFonts w:eastAsia="Arial" w:cs="Arial"/>
        </w:rPr>
        <w:t>Para los tiempos de Independencia muchos de los opositores al yugo español fueron fusilados luchando y dando la vida por la patria. De ello devino su nombre, en honor a los mártires caídos en pie de lucha como Policarpa Salavarrieta, Antonia Santos, Mercedes Abrego, Camilo Torres y Antonio José de Caldas.</w:t>
      </w:r>
    </w:p>
    <w:p w14:paraId="532C8C29" w14:textId="77777777" w:rsidR="0087017A" w:rsidRDefault="0087017A" w:rsidP="00236BCC">
      <w:pPr>
        <w:pBdr>
          <w:top w:val="nil"/>
          <w:left w:val="nil"/>
          <w:bottom w:val="nil"/>
          <w:right w:val="nil"/>
          <w:between w:val="nil"/>
        </w:pBdr>
        <w:spacing w:after="0"/>
        <w:ind w:left="765"/>
        <w:jc w:val="both"/>
        <w:rPr>
          <w:rFonts w:eastAsia="Arial" w:cs="Arial"/>
        </w:rPr>
      </w:pPr>
    </w:p>
    <w:p w14:paraId="6F09F375" w14:textId="77777777" w:rsidR="0087017A" w:rsidRDefault="006371D8" w:rsidP="00236BCC">
      <w:pPr>
        <w:pBdr>
          <w:top w:val="nil"/>
          <w:left w:val="nil"/>
          <w:bottom w:val="nil"/>
          <w:right w:val="nil"/>
          <w:between w:val="nil"/>
        </w:pBdr>
        <w:spacing w:after="0"/>
        <w:ind w:left="765"/>
        <w:jc w:val="both"/>
        <w:rPr>
          <w:rFonts w:eastAsia="Arial" w:cs="Arial"/>
        </w:rPr>
      </w:pPr>
      <w:r>
        <w:rPr>
          <w:rFonts w:eastAsia="Arial" w:cs="Arial"/>
        </w:rPr>
        <w:t xml:space="preserve"> La Construcción de la plaza de Los Mártires, postulada en la antigua “Huerta de Jaime” mediante la Ordenanza 112 de octubre de 1850, fue epicentro del fusilamiento de los más notables revolucionarios comuneros en la campaña pacificadora de los españoles, siendo hoy uno de los lugares más emblemáticos de Bogotá como el Parque de los Mártires, en el que se erige el obelisco en memoria a los caídos y la transferencia por generación del mensaje escrito: “Es dulce y decoroso morir por la patria”. </w:t>
      </w:r>
    </w:p>
    <w:p w14:paraId="6BCDC54A" w14:textId="77777777" w:rsidR="0087017A" w:rsidRDefault="0087017A" w:rsidP="00236BCC">
      <w:pPr>
        <w:pBdr>
          <w:top w:val="nil"/>
          <w:left w:val="nil"/>
          <w:bottom w:val="nil"/>
          <w:right w:val="nil"/>
          <w:between w:val="nil"/>
        </w:pBdr>
        <w:spacing w:after="0"/>
        <w:ind w:left="765"/>
        <w:jc w:val="both"/>
        <w:rPr>
          <w:rFonts w:eastAsia="Arial" w:cs="Arial"/>
        </w:rPr>
      </w:pPr>
    </w:p>
    <w:p w14:paraId="50169667" w14:textId="77777777" w:rsidR="0087017A" w:rsidRDefault="006371D8" w:rsidP="00236BCC">
      <w:pPr>
        <w:pBdr>
          <w:top w:val="nil"/>
          <w:left w:val="nil"/>
          <w:bottom w:val="nil"/>
          <w:right w:val="nil"/>
          <w:between w:val="nil"/>
        </w:pBdr>
        <w:spacing w:after="0"/>
        <w:ind w:left="765"/>
        <w:jc w:val="both"/>
        <w:rPr>
          <w:rFonts w:eastAsia="Arial" w:cs="Arial"/>
        </w:rPr>
      </w:pPr>
      <w:r>
        <w:rPr>
          <w:rFonts w:eastAsia="Arial" w:cs="Arial"/>
        </w:rPr>
        <w:t xml:space="preserve">En el año 1873 comenzó a construirse un nuevo camposanto junto al anterior, y se le dio el nombre de Cementerio Central, como uno de los equipamientos de desarrollo y de expansión de la ciudad. </w:t>
      </w:r>
    </w:p>
    <w:p w14:paraId="0D94C443" w14:textId="77777777" w:rsidR="0087017A" w:rsidRDefault="0087017A" w:rsidP="00236BCC">
      <w:pPr>
        <w:pBdr>
          <w:top w:val="nil"/>
          <w:left w:val="nil"/>
          <w:bottom w:val="nil"/>
          <w:right w:val="nil"/>
          <w:between w:val="nil"/>
        </w:pBdr>
        <w:spacing w:after="0"/>
        <w:ind w:left="765"/>
        <w:jc w:val="both"/>
        <w:rPr>
          <w:rFonts w:eastAsia="Arial" w:cs="Arial"/>
        </w:rPr>
      </w:pPr>
    </w:p>
    <w:p w14:paraId="1F3A05D3" w14:textId="77777777" w:rsidR="0087017A" w:rsidRDefault="006371D8" w:rsidP="00236BCC">
      <w:pPr>
        <w:pBdr>
          <w:top w:val="nil"/>
          <w:left w:val="nil"/>
          <w:bottom w:val="nil"/>
          <w:right w:val="nil"/>
          <w:between w:val="nil"/>
        </w:pBdr>
        <w:spacing w:after="0"/>
        <w:ind w:left="765"/>
        <w:jc w:val="both"/>
        <w:rPr>
          <w:rFonts w:eastAsia="Arial" w:cs="Arial"/>
        </w:rPr>
      </w:pPr>
      <w:r>
        <w:rPr>
          <w:rFonts w:eastAsia="Arial" w:cs="Arial"/>
        </w:rPr>
        <w:t xml:space="preserve">En la transición de 1770 y 1790, la familia París construyó San Façón, una casa de campo que dio nombre al hoy barrio San Facón reconocido desde 1908. Allí se ubicó el convento San Façón y la iglesia Gótica, inaugurada en 1918. Así mismo, en el parque de </w:t>
      </w:r>
      <w:r>
        <w:rPr>
          <w:rFonts w:eastAsia="Arial" w:cs="Arial"/>
        </w:rPr>
        <w:lastRenderedPageBreak/>
        <w:t xml:space="preserve">Los Mártires se encuentra la emblemática Iglesia del Voto Nacional, construida en terrenos donados por Rosa Calvo Cabrera en </w:t>
      </w:r>
      <w:proofErr w:type="gramStart"/>
      <w:r>
        <w:rPr>
          <w:rFonts w:eastAsia="Arial" w:cs="Arial"/>
        </w:rPr>
        <w:t>1891,que</w:t>
      </w:r>
      <w:proofErr w:type="gramEnd"/>
      <w:r>
        <w:rPr>
          <w:rFonts w:eastAsia="Arial" w:cs="Arial"/>
        </w:rPr>
        <w:t xml:space="preserve"> pasó ser propiedad y administrada a la orden de los Claretianos y se elevó a la categoría de basílica por el Papa Paulo VI . </w:t>
      </w:r>
    </w:p>
    <w:p w14:paraId="0FFE2E12" w14:textId="77777777" w:rsidR="0087017A" w:rsidRDefault="0087017A" w:rsidP="00236BCC">
      <w:pPr>
        <w:pBdr>
          <w:top w:val="nil"/>
          <w:left w:val="nil"/>
          <w:bottom w:val="nil"/>
          <w:right w:val="nil"/>
          <w:between w:val="nil"/>
        </w:pBdr>
        <w:spacing w:after="0"/>
        <w:ind w:left="765"/>
        <w:jc w:val="both"/>
        <w:rPr>
          <w:rFonts w:eastAsia="Arial" w:cs="Arial"/>
        </w:rPr>
      </w:pPr>
    </w:p>
    <w:p w14:paraId="253A27C8" w14:textId="77777777" w:rsidR="0087017A" w:rsidRDefault="006371D8" w:rsidP="00236BCC">
      <w:pPr>
        <w:pBdr>
          <w:top w:val="nil"/>
          <w:left w:val="nil"/>
          <w:bottom w:val="nil"/>
          <w:right w:val="nil"/>
          <w:between w:val="nil"/>
        </w:pBdr>
        <w:spacing w:after="0"/>
        <w:ind w:left="765"/>
        <w:jc w:val="both"/>
        <w:rPr>
          <w:rFonts w:eastAsia="Arial" w:cs="Arial"/>
        </w:rPr>
      </w:pPr>
      <w:r>
        <w:rPr>
          <w:rFonts w:eastAsia="Arial" w:cs="Arial"/>
        </w:rPr>
        <w:t>Otro referente importante de los Mártires es la creación y adecuación de la plaza de las Maderas en 1883, lo que actualmente se conoce como la Plaza España, que debe su nombre al Concejo Municipal a través del Acuerdo 15 de 1902. La plaza fue el referente de actividades económicas como la venta de materiales de construcción, leña y carbón, y en algunos casos animales vivos para el consumo de carne. Estas actividades se fueron trasladando hacia la plaza de San Victorino, debido a la afluencia y dinámica comercial de la sabana a donde llegaban los visitantes a satisfacer su demanda de productos.</w:t>
      </w:r>
    </w:p>
    <w:p w14:paraId="4314E2D2" w14:textId="77777777" w:rsidR="0087017A" w:rsidRDefault="0087017A" w:rsidP="00236BCC">
      <w:pPr>
        <w:pBdr>
          <w:top w:val="nil"/>
          <w:left w:val="nil"/>
          <w:bottom w:val="nil"/>
          <w:right w:val="nil"/>
          <w:between w:val="nil"/>
        </w:pBdr>
        <w:spacing w:after="0"/>
        <w:ind w:left="765"/>
        <w:jc w:val="both"/>
        <w:rPr>
          <w:rFonts w:eastAsia="Arial" w:cs="Arial"/>
        </w:rPr>
      </w:pPr>
    </w:p>
    <w:p w14:paraId="134E70DA" w14:textId="77777777" w:rsidR="0087017A" w:rsidRDefault="006371D8" w:rsidP="00236BCC">
      <w:pPr>
        <w:pBdr>
          <w:top w:val="nil"/>
          <w:left w:val="nil"/>
          <w:bottom w:val="nil"/>
          <w:right w:val="nil"/>
          <w:between w:val="nil"/>
        </w:pBdr>
        <w:spacing w:after="0"/>
        <w:ind w:left="765"/>
        <w:jc w:val="both"/>
        <w:rPr>
          <w:rFonts w:eastAsia="Arial" w:cs="Arial"/>
        </w:rPr>
      </w:pPr>
      <w:r>
        <w:rPr>
          <w:rFonts w:eastAsia="Arial" w:cs="Arial"/>
        </w:rPr>
        <w:t xml:space="preserve">En 1883 se creó la plaza de Maderas (su nombre se cambiaría por el de Plaza España por el Acuerdo 15 que emitió el Concejo Municipal el 3 de mayo de 1902). Las actividades de venta de materiales de construcción, leña, carbón y animales en pie fueron reemplazadas por prácticas comerciales ejercidas en la plaza de San Victorino, ya que el comercio de la sabana confluía en ese sector, y los visitantes que llegaban a la ciudad se encontraban con el intenso mercado que se practicaba allí. </w:t>
      </w:r>
    </w:p>
    <w:p w14:paraId="434C1783" w14:textId="77777777" w:rsidR="0087017A" w:rsidRDefault="0087017A" w:rsidP="00236BCC">
      <w:pPr>
        <w:pBdr>
          <w:top w:val="nil"/>
          <w:left w:val="nil"/>
          <w:bottom w:val="nil"/>
          <w:right w:val="nil"/>
          <w:between w:val="nil"/>
        </w:pBdr>
        <w:spacing w:after="0"/>
        <w:ind w:left="765"/>
        <w:jc w:val="both"/>
        <w:rPr>
          <w:rFonts w:eastAsia="Arial" w:cs="Arial"/>
        </w:rPr>
      </w:pPr>
    </w:p>
    <w:p w14:paraId="592EDEE5" w14:textId="77777777" w:rsidR="0087017A" w:rsidRDefault="006371D8" w:rsidP="00236BCC">
      <w:pPr>
        <w:pBdr>
          <w:top w:val="nil"/>
          <w:left w:val="nil"/>
          <w:bottom w:val="nil"/>
          <w:right w:val="nil"/>
          <w:between w:val="nil"/>
        </w:pBdr>
        <w:spacing w:after="0"/>
        <w:ind w:left="765"/>
        <w:jc w:val="both"/>
        <w:rPr>
          <w:rFonts w:eastAsia="Arial" w:cs="Arial"/>
        </w:rPr>
      </w:pPr>
      <w:r>
        <w:rPr>
          <w:rFonts w:eastAsia="Arial" w:cs="Arial"/>
        </w:rPr>
        <w:t xml:space="preserve">Con la llegada de los sistemas de transporte como el ferrocarril al país, la dinámica comercial y de conectividad con occidente se aceleró al tanto que Facatativá y Bogotá construyeron el primer ferrocarril para el 20 de Julio de 1889. Esto requirió la construcción de la Estación de la Sabana, entregada a la ciudad en 1917 como el centro de recepción de la población que llegaba o salía de viaje. Esta estación de </w:t>
      </w:r>
      <w:proofErr w:type="gramStart"/>
      <w:r>
        <w:rPr>
          <w:rFonts w:eastAsia="Arial" w:cs="Arial"/>
        </w:rPr>
        <w:t>ferrocarril,</w:t>
      </w:r>
      <w:proofErr w:type="gramEnd"/>
      <w:r>
        <w:rPr>
          <w:rFonts w:eastAsia="Arial" w:cs="Arial"/>
        </w:rPr>
        <w:t xml:space="preserve"> fue punto de partida y llegada de los inmigrantes rurales en busca de nuevos caminos y sitio predilecto de los "cachacos" de la época. La estación significó, de igual forma, un gran desarrollo comercial de la zona aledaña de la Avenida Jiménez, con la construcción de grandes bodegas de almacenamiento de productos, como la de la Federación Nacional de Cafeteros. </w:t>
      </w:r>
    </w:p>
    <w:p w14:paraId="7629DD04" w14:textId="77777777" w:rsidR="0087017A" w:rsidRDefault="0087017A" w:rsidP="00236BCC">
      <w:pPr>
        <w:pBdr>
          <w:top w:val="nil"/>
          <w:left w:val="nil"/>
          <w:bottom w:val="nil"/>
          <w:right w:val="nil"/>
          <w:between w:val="nil"/>
        </w:pBdr>
        <w:spacing w:after="0"/>
        <w:ind w:left="765"/>
        <w:jc w:val="both"/>
        <w:rPr>
          <w:rFonts w:eastAsia="Arial" w:cs="Arial"/>
        </w:rPr>
      </w:pPr>
    </w:p>
    <w:p w14:paraId="3F10DCE3" w14:textId="77777777" w:rsidR="0087017A" w:rsidRDefault="006371D8" w:rsidP="00236BCC">
      <w:pPr>
        <w:pBdr>
          <w:top w:val="nil"/>
          <w:left w:val="nil"/>
          <w:bottom w:val="nil"/>
          <w:right w:val="nil"/>
          <w:between w:val="nil"/>
        </w:pBdr>
        <w:spacing w:after="0"/>
        <w:ind w:left="765"/>
        <w:jc w:val="both"/>
        <w:rPr>
          <w:rFonts w:eastAsia="Arial" w:cs="Arial"/>
        </w:rPr>
      </w:pPr>
      <w:r>
        <w:rPr>
          <w:rFonts w:eastAsia="Arial" w:cs="Arial"/>
        </w:rPr>
        <w:t xml:space="preserve">En el periodo comprendido entre 1917 y 1948 se produce la ruptura definitiva con la ciudad colonial, la cual se vivió bajo la influencia española y en las formas y en los contenidos de la ciudad. Actualmente, con el crecimiento de la ciudad, los habitantes de </w:t>
      </w:r>
      <w:r>
        <w:rPr>
          <w:rFonts w:eastAsia="Arial" w:cs="Arial"/>
        </w:rPr>
        <w:lastRenderedPageBreak/>
        <w:t>antaño se desplazaron hacia el norte y el barrio fue ocupado principalmente por casas de prostitución e inquilinatos. A partir de los años 50 la localidad de Los Mártires se extendió hacia el occidente hasta la carrera 30 sobre el eje marcado por la avenida Alameda Nueva, hoy calle 13 o Avenida Jiménez.</w:t>
      </w:r>
    </w:p>
    <w:p w14:paraId="04F6C2D1" w14:textId="77777777" w:rsidR="0087017A" w:rsidRDefault="0087017A" w:rsidP="00236BCC">
      <w:pPr>
        <w:pBdr>
          <w:top w:val="nil"/>
          <w:left w:val="nil"/>
          <w:bottom w:val="nil"/>
          <w:right w:val="nil"/>
          <w:between w:val="nil"/>
        </w:pBdr>
        <w:spacing w:after="0"/>
        <w:ind w:left="765"/>
        <w:jc w:val="both"/>
        <w:rPr>
          <w:rFonts w:eastAsia="Arial" w:cs="Arial"/>
        </w:rPr>
      </w:pPr>
    </w:p>
    <w:p w14:paraId="51A59D0D" w14:textId="48BDD5A8" w:rsidR="0087017A" w:rsidRDefault="006371D8" w:rsidP="00236BCC">
      <w:pPr>
        <w:pBdr>
          <w:top w:val="nil"/>
          <w:left w:val="nil"/>
          <w:bottom w:val="nil"/>
          <w:right w:val="nil"/>
          <w:between w:val="nil"/>
        </w:pBdr>
        <w:spacing w:after="0"/>
        <w:ind w:left="765"/>
        <w:jc w:val="both"/>
        <w:rPr>
          <w:rFonts w:eastAsia="Arial" w:cs="Arial"/>
        </w:rPr>
      </w:pPr>
      <w:r>
        <w:rPr>
          <w:rFonts w:eastAsia="Arial" w:cs="Arial"/>
        </w:rPr>
        <w:t>Con el Acuerdo 26 de 1972 se presenta la división territorial de Bogotá en 16 circuitos denominados Alcaldías Menores de la cual Los Mártires hace parte con nomenclatura y límites definidos. Posteriormente con el Acuerdo 8 de 1977 “por el cual se modifica el Acuerdo 26 de 1972, se reorganizan las Alcaldías Menores, se definen dos adicionales, se reglamenta su funcionamiento y se faculta al Alcalde Mayor para delegar unas funciones.</w:t>
      </w:r>
    </w:p>
    <w:p w14:paraId="2320B97B" w14:textId="64C482FD" w:rsidR="0087017A" w:rsidRDefault="006371D8" w:rsidP="00236BCC">
      <w:pPr>
        <w:pBdr>
          <w:top w:val="nil"/>
          <w:left w:val="nil"/>
          <w:bottom w:val="nil"/>
          <w:right w:val="nil"/>
          <w:between w:val="nil"/>
        </w:pBdr>
        <w:spacing w:after="0"/>
        <w:ind w:left="765"/>
        <w:jc w:val="both"/>
        <w:rPr>
          <w:rFonts w:eastAsia="Arial" w:cs="Arial"/>
        </w:rPr>
      </w:pPr>
      <w:r>
        <w:rPr>
          <w:rFonts w:eastAsia="Arial" w:cs="Arial"/>
        </w:rPr>
        <w:t xml:space="preserve">Actualmente la localidad cuenta con la Alcaldía Local de Los Mártires, correspondiéndole como nomenclatura el número 14. </w:t>
      </w:r>
      <w:proofErr w:type="gramStart"/>
      <w:r>
        <w:rPr>
          <w:rFonts w:eastAsia="Arial" w:cs="Arial"/>
        </w:rPr>
        <w:t>De acuerdo a</w:t>
      </w:r>
      <w:proofErr w:type="gramEnd"/>
      <w:r>
        <w:rPr>
          <w:rFonts w:eastAsia="Arial" w:cs="Arial"/>
        </w:rPr>
        <w:t xml:space="preserve"> la Ley 1 de 1992 reglamentó las funciones de las Juntas Administradoras Locales (JAL), de los Fondos de Desarrollo Local y de los Alcaldes Locales y se determinó la asignación presupuestal de las localidades.</w:t>
      </w:r>
    </w:p>
    <w:p w14:paraId="70331BFB" w14:textId="77777777" w:rsidR="00E96915" w:rsidRDefault="00E96915" w:rsidP="00E96915">
      <w:pPr>
        <w:pBdr>
          <w:top w:val="nil"/>
          <w:left w:val="nil"/>
          <w:bottom w:val="nil"/>
          <w:right w:val="nil"/>
          <w:between w:val="nil"/>
        </w:pBdr>
        <w:spacing w:after="0"/>
        <w:ind w:firstLine="0"/>
        <w:jc w:val="both"/>
        <w:rPr>
          <w:rFonts w:eastAsia="Arial" w:cs="Arial"/>
        </w:rPr>
      </w:pPr>
    </w:p>
    <w:p w14:paraId="39786492" w14:textId="2475E991" w:rsidR="0087017A" w:rsidRPr="00066F0C" w:rsidRDefault="00E96915" w:rsidP="00E96915">
      <w:pPr>
        <w:pStyle w:val="Ttulo2"/>
      </w:pPr>
      <w:bookmarkStart w:id="7" w:name="_Toc57238601"/>
      <w:r>
        <w:t xml:space="preserve">1.4 </w:t>
      </w:r>
      <w:proofErr w:type="gramStart"/>
      <w:r w:rsidR="006371D8" w:rsidRPr="00066F0C">
        <w:t xml:space="preserve">Normatividad  </w:t>
      </w:r>
      <w:r w:rsidR="000A356D" w:rsidRPr="00066F0C">
        <w:t>ambiental</w:t>
      </w:r>
      <w:proofErr w:type="gramEnd"/>
      <w:r w:rsidR="000A356D" w:rsidRPr="00066F0C">
        <w:t>.</w:t>
      </w:r>
      <w:bookmarkEnd w:id="7"/>
    </w:p>
    <w:p w14:paraId="03790D97" w14:textId="77777777" w:rsidR="003717F1" w:rsidRDefault="006371D8" w:rsidP="00236BCC">
      <w:pPr>
        <w:pBdr>
          <w:top w:val="nil"/>
          <w:left w:val="nil"/>
          <w:bottom w:val="nil"/>
          <w:right w:val="nil"/>
          <w:between w:val="nil"/>
        </w:pBdr>
        <w:spacing w:after="0"/>
        <w:ind w:left="851"/>
        <w:jc w:val="both"/>
        <w:rPr>
          <w:rFonts w:eastAsia="Arial" w:cs="Arial"/>
        </w:rPr>
      </w:pPr>
      <w:r>
        <w:rPr>
          <w:rFonts w:eastAsia="Arial" w:cs="Arial"/>
        </w:rPr>
        <w:t xml:space="preserve">Según lo descrito en el artículo 322 de la Constitución Política de Colombia la cual instauró que el Concejo a iniciativa del alcalde dividirá el territorio distrital en localidades, dependiendo de las características sociales de sus habitantes, fraccionando la ciudad en 20 localidades según lo descrito en el acuerdo distrital 02 de 1992. El ordenamiento del territorio es dado por la ley 388 de 1997, la cual dispone que los municipios, en ejercicio de su autonomía, deben promover el uso equitativo y racional del suelo, la preservación y defensa del patrimonio ecológico y cultural (Ley 388 de 1997), siendo los Planes de Ordenamiento Territorial (POT), el conjunto de objetivos, directrices, políticas, estrategias, metas, programas, actuaciones y normas adoptadas para orientar y administrar el desarrollo físico del territorio y la utilización del suelo (Ley 388 de 1997). El Plan de Ordenamiento Territorial (POT) del distrito capital define las directrices acerca del uso y ocupación del suelo urbano y de expansión, priorizando la recuperación de las fuentes hídricas y de sus áreas de ronda, la protección y restauración ambiental de los Cerros Orientales, los Cerros de Suba y las zonas de riesgo evitando la urbanización ilegal, basados en la gestión de planes y políticas ambientales propiciando principalmente la calidad ambiental para el desarrollo humano integral, el desarrollo </w:t>
      </w:r>
      <w:r>
        <w:rPr>
          <w:rFonts w:eastAsia="Arial" w:cs="Arial"/>
        </w:rPr>
        <w:lastRenderedPageBreak/>
        <w:t>sostenible como proyecto social y cultural, la transformación positiva del territorio y la gestión ambiental urbano-regional (Decreto 190 de 2004). Bajo los parámetros anteriores y según lo descrito en la Constitución Política de Colombia en donde es un derecho de los ciudadanos de gozar de un ambiente sano se desarrolla el Plan de Gestión Ambiental (PGA) el cual es un instrumento de planeación de largo plazo que orienta y permite la gestión ambiental de los diferentes actores estratégicos, generando procesos que desarrollen la sostenibilidad en el territorio distrital y de la región (Decreto Distrital 456 de 2008). Dentro del Plan de Gestión Ambiental (PGA) 2008-2038, se desarrollan diferentes instrumentos de planeación ambiental, los cuales son los componentes de la gestión ambiental del distrito que permiten la materialización de cada uno de los planes descritos en el PGA, dividiendo estos en los “Instrumentos operativos de planeación ambiental” y los “otros instrumentos de planeación ambiental”</w:t>
      </w:r>
    </w:p>
    <w:p w14:paraId="5AB71A6A" w14:textId="31B83940" w:rsidR="0087017A" w:rsidRDefault="006371D8" w:rsidP="00236BCC">
      <w:pPr>
        <w:pBdr>
          <w:top w:val="nil"/>
          <w:left w:val="nil"/>
          <w:bottom w:val="nil"/>
          <w:right w:val="nil"/>
          <w:between w:val="nil"/>
        </w:pBdr>
        <w:spacing w:after="0"/>
        <w:ind w:left="851"/>
        <w:jc w:val="both"/>
        <w:rPr>
          <w:rFonts w:eastAsia="Arial" w:cs="Arial"/>
        </w:rPr>
      </w:pPr>
      <w:r>
        <w:rPr>
          <w:rFonts w:eastAsia="Arial" w:cs="Arial"/>
        </w:rPr>
        <w:t xml:space="preserve">. </w:t>
      </w:r>
    </w:p>
    <w:p w14:paraId="17C852E8" w14:textId="5DE64A8C" w:rsidR="000F0A35" w:rsidRPr="00E96915" w:rsidRDefault="00E96915" w:rsidP="00E96915">
      <w:pPr>
        <w:pStyle w:val="Ttulo3"/>
      </w:pPr>
      <w:bookmarkStart w:id="8" w:name="_Toc57238602"/>
      <w:r>
        <w:t xml:space="preserve">1.4.1 </w:t>
      </w:r>
      <w:r w:rsidR="000A356D" w:rsidRPr="00E96915">
        <w:t xml:space="preserve">Normatividad </w:t>
      </w:r>
      <w:r w:rsidR="00397F25" w:rsidRPr="00E96915">
        <w:t>ambiental general.</w:t>
      </w:r>
      <w:bookmarkEnd w:id="8"/>
    </w:p>
    <w:tbl>
      <w:tblPr>
        <w:tblStyle w:val="Tablaconcuadrcula"/>
        <w:tblW w:w="0" w:type="auto"/>
        <w:tblInd w:w="279" w:type="dxa"/>
        <w:tblLook w:val="04A0" w:firstRow="1" w:lastRow="0" w:firstColumn="1" w:lastColumn="0" w:noHBand="0" w:noVBand="1"/>
      </w:tblPr>
      <w:tblGrid>
        <w:gridCol w:w="1559"/>
        <w:gridCol w:w="3544"/>
        <w:gridCol w:w="4012"/>
      </w:tblGrid>
      <w:tr w:rsidR="0029789B" w14:paraId="279E6491" w14:textId="77777777" w:rsidTr="0012093E">
        <w:trPr>
          <w:trHeight w:val="437"/>
        </w:trPr>
        <w:tc>
          <w:tcPr>
            <w:tcW w:w="1559" w:type="dxa"/>
            <w:shd w:val="clear" w:color="auto" w:fill="8EAADB" w:themeFill="accent1" w:themeFillTint="99"/>
            <w:vAlign w:val="center"/>
          </w:tcPr>
          <w:p w14:paraId="20B91D0E" w14:textId="2F464BC8" w:rsidR="0029789B" w:rsidRPr="0029789B" w:rsidRDefault="0029789B" w:rsidP="0029789B">
            <w:pPr>
              <w:pStyle w:val="Prrafodelista"/>
              <w:spacing w:after="0" w:line="240" w:lineRule="auto"/>
              <w:ind w:left="0" w:firstLine="0"/>
              <w:jc w:val="center"/>
              <w:rPr>
                <w:rFonts w:eastAsia="Arial" w:cs="Arial"/>
                <w:b/>
                <w:bCs/>
                <w:sz w:val="16"/>
                <w:szCs w:val="16"/>
              </w:rPr>
            </w:pPr>
            <w:r w:rsidRPr="0029789B">
              <w:rPr>
                <w:rFonts w:ascii="Calibri" w:hAnsi="Calibri"/>
                <w:b/>
                <w:bCs/>
                <w:color w:val="000000"/>
                <w:sz w:val="16"/>
                <w:szCs w:val="16"/>
              </w:rPr>
              <w:t>NORMA</w:t>
            </w:r>
          </w:p>
        </w:tc>
        <w:tc>
          <w:tcPr>
            <w:tcW w:w="3544" w:type="dxa"/>
            <w:shd w:val="clear" w:color="auto" w:fill="8EAADB" w:themeFill="accent1" w:themeFillTint="99"/>
            <w:vAlign w:val="center"/>
          </w:tcPr>
          <w:p w14:paraId="789C6392" w14:textId="36D61432" w:rsidR="0029789B" w:rsidRPr="0029789B" w:rsidRDefault="0029789B" w:rsidP="0029789B">
            <w:pPr>
              <w:pStyle w:val="Prrafodelista"/>
              <w:spacing w:after="0" w:line="240" w:lineRule="auto"/>
              <w:ind w:left="0" w:firstLine="0"/>
              <w:jc w:val="center"/>
              <w:rPr>
                <w:rFonts w:eastAsia="Arial" w:cs="Arial"/>
                <w:b/>
                <w:bCs/>
                <w:sz w:val="16"/>
                <w:szCs w:val="16"/>
              </w:rPr>
            </w:pPr>
            <w:r w:rsidRPr="0029789B">
              <w:rPr>
                <w:rFonts w:ascii="Calibri" w:hAnsi="Calibri"/>
                <w:b/>
                <w:bCs/>
                <w:color w:val="000000"/>
                <w:sz w:val="16"/>
                <w:szCs w:val="16"/>
              </w:rPr>
              <w:t>DISPOSICIÓN</w:t>
            </w:r>
          </w:p>
        </w:tc>
        <w:tc>
          <w:tcPr>
            <w:tcW w:w="4012" w:type="dxa"/>
            <w:shd w:val="clear" w:color="auto" w:fill="8EAADB" w:themeFill="accent1" w:themeFillTint="99"/>
            <w:vAlign w:val="center"/>
          </w:tcPr>
          <w:p w14:paraId="22A4CECD" w14:textId="4DD18227" w:rsidR="0029789B" w:rsidRPr="0029789B" w:rsidRDefault="0029789B" w:rsidP="0029789B">
            <w:pPr>
              <w:pStyle w:val="Prrafodelista"/>
              <w:spacing w:after="0" w:line="240" w:lineRule="auto"/>
              <w:ind w:left="0" w:firstLine="0"/>
              <w:jc w:val="center"/>
              <w:rPr>
                <w:rFonts w:eastAsia="Arial" w:cs="Arial"/>
                <w:b/>
                <w:bCs/>
                <w:sz w:val="16"/>
                <w:szCs w:val="16"/>
              </w:rPr>
            </w:pPr>
            <w:r w:rsidRPr="0029789B">
              <w:rPr>
                <w:rFonts w:ascii="Calibri" w:hAnsi="Calibri"/>
                <w:b/>
                <w:bCs/>
                <w:color w:val="000000"/>
                <w:sz w:val="16"/>
                <w:szCs w:val="16"/>
              </w:rPr>
              <w:t>OBSERVACIONES</w:t>
            </w:r>
          </w:p>
        </w:tc>
      </w:tr>
      <w:tr w:rsidR="0029789B" w14:paraId="1B35AE91" w14:textId="77777777" w:rsidTr="0012093E">
        <w:tc>
          <w:tcPr>
            <w:tcW w:w="1559" w:type="dxa"/>
            <w:shd w:val="clear" w:color="auto" w:fill="EFF5FB"/>
            <w:vAlign w:val="center"/>
          </w:tcPr>
          <w:p w14:paraId="0284DD34" w14:textId="797AF0A6"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Constitución Política de Colombia</w:t>
            </w:r>
          </w:p>
        </w:tc>
        <w:tc>
          <w:tcPr>
            <w:tcW w:w="3544" w:type="dxa"/>
            <w:shd w:val="clear" w:color="auto" w:fill="EFF5FB"/>
            <w:vAlign w:val="center"/>
          </w:tcPr>
          <w:p w14:paraId="3E26D527" w14:textId="7C6F1260"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Capítulo III, título II</w:t>
            </w:r>
          </w:p>
        </w:tc>
        <w:tc>
          <w:tcPr>
            <w:tcW w:w="4012" w:type="dxa"/>
            <w:shd w:val="clear" w:color="auto" w:fill="EFF5FB"/>
            <w:vAlign w:val="center"/>
          </w:tcPr>
          <w:p w14:paraId="72CC1B06" w14:textId="107909C7" w:rsidR="0029789B" w:rsidRPr="0029789B" w:rsidRDefault="0029789B" w:rsidP="0029789B">
            <w:pPr>
              <w:pStyle w:val="Prrafodelista"/>
              <w:spacing w:after="0" w:line="240" w:lineRule="auto"/>
              <w:ind w:left="0" w:firstLine="0"/>
              <w:jc w:val="both"/>
              <w:rPr>
                <w:rFonts w:eastAsia="Arial" w:cs="Arial"/>
                <w:b/>
                <w:bCs/>
                <w:sz w:val="16"/>
                <w:szCs w:val="16"/>
              </w:rPr>
            </w:pPr>
            <w:proofErr w:type="gramStart"/>
            <w:r w:rsidRPr="0029789B">
              <w:rPr>
                <w:rFonts w:ascii="Calibri" w:hAnsi="Calibri"/>
                <w:color w:val="000000"/>
                <w:sz w:val="16"/>
                <w:szCs w:val="16"/>
              </w:rPr>
              <w:t>Establece  el</w:t>
            </w:r>
            <w:proofErr w:type="gramEnd"/>
            <w:r w:rsidRPr="0029789B">
              <w:rPr>
                <w:rFonts w:ascii="Calibri" w:hAnsi="Calibri"/>
                <w:color w:val="000000"/>
                <w:sz w:val="16"/>
                <w:szCs w:val="16"/>
              </w:rPr>
              <w:t xml:space="preserve"> derecho a gozar de un ambiente sano y el deber del Estado de protegerla diversidad e integridad del ambiente, conservar las áreas de especial importancia ecológica y fomentar la educación </w:t>
            </w:r>
            <w:r>
              <w:rPr>
                <w:rFonts w:ascii="Calibri" w:hAnsi="Calibri"/>
                <w:color w:val="000000"/>
                <w:sz w:val="16"/>
                <w:szCs w:val="16"/>
              </w:rPr>
              <w:t xml:space="preserve"> el</w:t>
            </w:r>
            <w:r w:rsidRPr="0029789B">
              <w:rPr>
                <w:rFonts w:ascii="Calibri" w:hAnsi="Calibri"/>
                <w:color w:val="000000"/>
                <w:sz w:val="16"/>
                <w:szCs w:val="16"/>
              </w:rPr>
              <w:t xml:space="preserve"> logro de estos fines.</w:t>
            </w:r>
          </w:p>
        </w:tc>
      </w:tr>
      <w:tr w:rsidR="0029789B" w14:paraId="254102DF" w14:textId="77777777" w:rsidTr="0012093E">
        <w:tc>
          <w:tcPr>
            <w:tcW w:w="1559" w:type="dxa"/>
            <w:shd w:val="clear" w:color="auto" w:fill="EFF5FB"/>
            <w:vAlign w:val="center"/>
          </w:tcPr>
          <w:p w14:paraId="7576AE0A" w14:textId="2816D44A"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Ley 99 de 1993. Art. 68</w:t>
            </w:r>
          </w:p>
        </w:tc>
        <w:tc>
          <w:tcPr>
            <w:tcW w:w="3544" w:type="dxa"/>
            <w:shd w:val="clear" w:color="auto" w:fill="EFF5FB"/>
            <w:vAlign w:val="center"/>
          </w:tcPr>
          <w:p w14:paraId="64FFACC4" w14:textId="0EDAD315"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Creación del Ministerio del Medio Ambiente. Organización de los mecanismos encargados de la gestión y conservación del ambiente y los recursos naturales renovables. Se organiza el Sistema Nacional Ambiental SINA y se dictan otras disposiciones.</w:t>
            </w:r>
          </w:p>
        </w:tc>
        <w:tc>
          <w:tcPr>
            <w:tcW w:w="4012" w:type="dxa"/>
            <w:shd w:val="clear" w:color="auto" w:fill="EFF5FB"/>
            <w:vAlign w:val="center"/>
          </w:tcPr>
          <w:p w14:paraId="3F93D436" w14:textId="7BE088F1"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 xml:space="preserve">Establece la Planificación </w:t>
            </w:r>
            <w:proofErr w:type="gramStart"/>
            <w:r w:rsidRPr="0029789B">
              <w:rPr>
                <w:rFonts w:ascii="Calibri" w:hAnsi="Calibri"/>
                <w:color w:val="000000"/>
                <w:sz w:val="16"/>
                <w:szCs w:val="16"/>
              </w:rPr>
              <w:t>Ambiental  de</w:t>
            </w:r>
            <w:proofErr w:type="gramEnd"/>
            <w:r w:rsidRPr="0029789B">
              <w:rPr>
                <w:rFonts w:ascii="Calibri" w:hAnsi="Calibri"/>
                <w:color w:val="000000"/>
                <w:sz w:val="16"/>
                <w:szCs w:val="16"/>
              </w:rPr>
              <w:t xml:space="preserve"> las Entidades Territoriales. Instaura que los departamentos, municipios y distritos elaborarán sus planes, programas y proyectos de desarrollo en lo relacionado con el medio ambiente y los recursos naturales renovables.</w:t>
            </w:r>
          </w:p>
        </w:tc>
      </w:tr>
      <w:tr w:rsidR="0029789B" w14:paraId="30B55D45" w14:textId="77777777" w:rsidTr="0012093E">
        <w:tc>
          <w:tcPr>
            <w:tcW w:w="1559" w:type="dxa"/>
            <w:shd w:val="clear" w:color="auto" w:fill="EFF5FB"/>
            <w:vAlign w:val="center"/>
          </w:tcPr>
          <w:p w14:paraId="4A17E407" w14:textId="6FF28E38"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Decreto 2811 de 1974</w:t>
            </w:r>
          </w:p>
        </w:tc>
        <w:tc>
          <w:tcPr>
            <w:tcW w:w="3544" w:type="dxa"/>
            <w:shd w:val="clear" w:color="auto" w:fill="EFF5FB"/>
            <w:vAlign w:val="center"/>
          </w:tcPr>
          <w:p w14:paraId="1193B12B" w14:textId="4746E02C"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Código Nacional de Recursos Naturales Renovables y de protección del medio ambiente.</w:t>
            </w:r>
          </w:p>
        </w:tc>
        <w:tc>
          <w:tcPr>
            <w:tcW w:w="4012" w:type="dxa"/>
            <w:shd w:val="clear" w:color="auto" w:fill="EFF5FB"/>
            <w:vAlign w:val="center"/>
          </w:tcPr>
          <w:p w14:paraId="6A00832E" w14:textId="0512CC22"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 xml:space="preserve">a. El manejo de los recursos naturales renovables. b. La defensa del ambiente y de los recursos naturales renovables contra la acción nociva de los fenómenos </w:t>
            </w:r>
            <w:proofErr w:type="gramStart"/>
            <w:r w:rsidRPr="0029789B">
              <w:rPr>
                <w:rFonts w:ascii="Calibri" w:hAnsi="Calibri"/>
                <w:color w:val="000000"/>
                <w:sz w:val="16"/>
                <w:szCs w:val="16"/>
              </w:rPr>
              <w:t>naturales .</w:t>
            </w:r>
            <w:proofErr w:type="gramEnd"/>
            <w:r w:rsidRPr="0029789B">
              <w:rPr>
                <w:rFonts w:ascii="Calibri" w:hAnsi="Calibri"/>
                <w:color w:val="000000"/>
                <w:sz w:val="16"/>
                <w:szCs w:val="16"/>
              </w:rPr>
              <w:t xml:space="preserve"> c. Los demás alimentos y factores que conforman el </w:t>
            </w:r>
            <w:proofErr w:type="gramStart"/>
            <w:r w:rsidRPr="0029789B">
              <w:rPr>
                <w:rFonts w:ascii="Calibri" w:hAnsi="Calibri"/>
                <w:color w:val="000000"/>
                <w:sz w:val="16"/>
                <w:szCs w:val="16"/>
              </w:rPr>
              <w:t>ambiente  o</w:t>
            </w:r>
            <w:proofErr w:type="gramEnd"/>
            <w:r w:rsidRPr="0029789B">
              <w:rPr>
                <w:rFonts w:ascii="Calibri" w:hAnsi="Calibri"/>
                <w:color w:val="000000"/>
                <w:sz w:val="16"/>
                <w:szCs w:val="16"/>
              </w:rPr>
              <w:t xml:space="preserve"> influyan en él, denominados en el Código elementos ambientales. </w:t>
            </w:r>
          </w:p>
        </w:tc>
      </w:tr>
      <w:tr w:rsidR="0029789B" w14:paraId="34A188D2" w14:textId="77777777" w:rsidTr="0012093E">
        <w:tc>
          <w:tcPr>
            <w:tcW w:w="1559" w:type="dxa"/>
            <w:shd w:val="clear" w:color="auto" w:fill="EFF5FB"/>
            <w:vAlign w:val="center"/>
          </w:tcPr>
          <w:p w14:paraId="38C7E693" w14:textId="3D2DE727"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 xml:space="preserve">Acuerdo </w:t>
            </w:r>
            <w:proofErr w:type="gramStart"/>
            <w:r w:rsidRPr="0029789B">
              <w:rPr>
                <w:rFonts w:ascii="Calibri" w:hAnsi="Calibri"/>
                <w:color w:val="000000"/>
                <w:sz w:val="16"/>
                <w:szCs w:val="16"/>
              </w:rPr>
              <w:t>19  de</w:t>
            </w:r>
            <w:proofErr w:type="gramEnd"/>
            <w:r w:rsidRPr="0029789B">
              <w:rPr>
                <w:rFonts w:ascii="Calibri" w:hAnsi="Calibri"/>
                <w:color w:val="000000"/>
                <w:sz w:val="16"/>
                <w:szCs w:val="16"/>
              </w:rPr>
              <w:t xml:space="preserve"> 1996</w:t>
            </w:r>
          </w:p>
        </w:tc>
        <w:tc>
          <w:tcPr>
            <w:tcW w:w="3544" w:type="dxa"/>
            <w:shd w:val="clear" w:color="auto" w:fill="EFF5FB"/>
            <w:vAlign w:val="center"/>
          </w:tcPr>
          <w:p w14:paraId="67E56C51" w14:textId="2509A2DA"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 xml:space="preserve">Adopta el Estatuto </w:t>
            </w:r>
            <w:proofErr w:type="gramStart"/>
            <w:r w:rsidRPr="0029789B">
              <w:rPr>
                <w:rFonts w:ascii="Calibri" w:hAnsi="Calibri"/>
                <w:color w:val="000000"/>
                <w:sz w:val="16"/>
                <w:szCs w:val="16"/>
              </w:rPr>
              <w:t>General  de</w:t>
            </w:r>
            <w:proofErr w:type="gramEnd"/>
            <w:r w:rsidRPr="0029789B">
              <w:rPr>
                <w:rFonts w:ascii="Calibri" w:hAnsi="Calibri"/>
                <w:color w:val="000000"/>
                <w:sz w:val="16"/>
                <w:szCs w:val="16"/>
              </w:rPr>
              <w:t xml:space="preserve"> Protección Ambiental del Distrito Capital.</w:t>
            </w:r>
          </w:p>
        </w:tc>
        <w:tc>
          <w:tcPr>
            <w:tcW w:w="4012" w:type="dxa"/>
            <w:shd w:val="clear" w:color="auto" w:fill="EFF5FB"/>
            <w:vAlign w:val="center"/>
          </w:tcPr>
          <w:p w14:paraId="6779543D" w14:textId="7DB95D4F"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 xml:space="preserve">Establece en el </w:t>
            </w:r>
            <w:proofErr w:type="gramStart"/>
            <w:r w:rsidRPr="0029789B">
              <w:rPr>
                <w:rFonts w:ascii="Calibri" w:hAnsi="Calibri"/>
                <w:color w:val="000000"/>
                <w:sz w:val="16"/>
                <w:szCs w:val="16"/>
              </w:rPr>
              <w:t>Capítulo  II</w:t>
            </w:r>
            <w:proofErr w:type="gramEnd"/>
            <w:r w:rsidRPr="0029789B">
              <w:rPr>
                <w:rFonts w:ascii="Calibri" w:hAnsi="Calibri"/>
                <w:color w:val="000000"/>
                <w:sz w:val="16"/>
                <w:szCs w:val="16"/>
              </w:rPr>
              <w:t xml:space="preserve"> el funcionamiento del sistema de compromisos de la gestión ambiental en el Distrito  Ambiental del Distrito Capital SIAC.</w:t>
            </w:r>
          </w:p>
        </w:tc>
      </w:tr>
      <w:tr w:rsidR="0029789B" w14:paraId="2EA9FF47" w14:textId="77777777" w:rsidTr="0012093E">
        <w:tc>
          <w:tcPr>
            <w:tcW w:w="1559" w:type="dxa"/>
            <w:shd w:val="clear" w:color="auto" w:fill="EFF5FB"/>
            <w:vAlign w:val="center"/>
          </w:tcPr>
          <w:p w14:paraId="340A9FE7" w14:textId="4B3D90EA"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Acuerdo 79 del 2003</w:t>
            </w:r>
          </w:p>
        </w:tc>
        <w:tc>
          <w:tcPr>
            <w:tcW w:w="3544" w:type="dxa"/>
            <w:shd w:val="clear" w:color="auto" w:fill="EFF5FB"/>
            <w:vAlign w:val="center"/>
          </w:tcPr>
          <w:p w14:paraId="16A542ED" w14:textId="13ED4C88"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Código de Policía.</w:t>
            </w:r>
          </w:p>
        </w:tc>
        <w:tc>
          <w:tcPr>
            <w:tcW w:w="4012" w:type="dxa"/>
            <w:shd w:val="clear" w:color="auto" w:fill="EFF5FB"/>
            <w:vAlign w:val="center"/>
          </w:tcPr>
          <w:p w14:paraId="5D05480D" w14:textId="119DC9FC"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 xml:space="preserve">Enfoca al medio ambiente como patrimonio de todas las </w:t>
            </w:r>
            <w:proofErr w:type="gramStart"/>
            <w:r w:rsidRPr="0029789B">
              <w:rPr>
                <w:rFonts w:ascii="Calibri" w:hAnsi="Calibri"/>
                <w:color w:val="000000"/>
                <w:sz w:val="16"/>
                <w:szCs w:val="16"/>
              </w:rPr>
              <w:t>personas  residentes</w:t>
            </w:r>
            <w:proofErr w:type="gramEnd"/>
            <w:r w:rsidRPr="0029789B">
              <w:rPr>
                <w:rFonts w:ascii="Calibri" w:hAnsi="Calibri"/>
                <w:color w:val="000000"/>
                <w:sz w:val="16"/>
                <w:szCs w:val="16"/>
              </w:rPr>
              <w:t xml:space="preserve"> en Bogotá D.C, de esta forma su preservación y conservación es de interés para la comunidad que habita en el radio de su jurisdicción.</w:t>
            </w:r>
          </w:p>
        </w:tc>
      </w:tr>
      <w:tr w:rsidR="0029789B" w14:paraId="28533607" w14:textId="77777777" w:rsidTr="0012093E">
        <w:tc>
          <w:tcPr>
            <w:tcW w:w="1559" w:type="dxa"/>
            <w:shd w:val="clear" w:color="auto" w:fill="EFF5FB"/>
            <w:vAlign w:val="center"/>
          </w:tcPr>
          <w:p w14:paraId="4AB3177E" w14:textId="6D5A9472"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 xml:space="preserve">Decreto Distrital 190 de 2004 </w:t>
            </w:r>
          </w:p>
        </w:tc>
        <w:tc>
          <w:tcPr>
            <w:tcW w:w="3544" w:type="dxa"/>
            <w:shd w:val="clear" w:color="auto" w:fill="EFF5FB"/>
            <w:vAlign w:val="center"/>
          </w:tcPr>
          <w:p w14:paraId="5399084D" w14:textId="46FDD9B1"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 xml:space="preserve">Conformación del </w:t>
            </w:r>
            <w:proofErr w:type="gramStart"/>
            <w:r w:rsidRPr="0029789B">
              <w:rPr>
                <w:rFonts w:ascii="Calibri" w:hAnsi="Calibri"/>
                <w:color w:val="000000"/>
                <w:sz w:val="16"/>
                <w:szCs w:val="16"/>
              </w:rPr>
              <w:t>POT  Plan</w:t>
            </w:r>
            <w:proofErr w:type="gramEnd"/>
            <w:r w:rsidRPr="0029789B">
              <w:rPr>
                <w:rFonts w:ascii="Calibri" w:hAnsi="Calibri"/>
                <w:color w:val="000000"/>
                <w:sz w:val="16"/>
                <w:szCs w:val="16"/>
              </w:rPr>
              <w:t xml:space="preserve"> de Ordenamiento Territorial de Bogotá D.C.</w:t>
            </w:r>
          </w:p>
        </w:tc>
        <w:tc>
          <w:tcPr>
            <w:tcW w:w="4012" w:type="dxa"/>
            <w:shd w:val="clear" w:color="auto" w:fill="EFF5FB"/>
            <w:vAlign w:val="center"/>
          </w:tcPr>
          <w:p w14:paraId="30E04F69" w14:textId="139533F2"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 xml:space="preserve">Se establece el planteamiento del ordenamiento territorial del Distrito Capital a largo plazo, el cual garantiza la sostenibilidad ambiental, económica y fiscal del Distrito Capital, logrando los objetivos generales y </w:t>
            </w:r>
            <w:proofErr w:type="gramStart"/>
            <w:r w:rsidRPr="0029789B">
              <w:rPr>
                <w:rFonts w:ascii="Calibri" w:hAnsi="Calibri"/>
                <w:color w:val="000000"/>
                <w:sz w:val="16"/>
                <w:szCs w:val="16"/>
              </w:rPr>
              <w:t>sectoriales ,</w:t>
            </w:r>
            <w:proofErr w:type="gramEnd"/>
            <w:r w:rsidRPr="0029789B">
              <w:rPr>
                <w:rFonts w:ascii="Calibri" w:hAnsi="Calibri"/>
                <w:color w:val="000000"/>
                <w:sz w:val="16"/>
                <w:szCs w:val="16"/>
              </w:rPr>
              <w:t xml:space="preserve"> desarrollando las políticas y ejecutando los planes y las operaciones prioritarias que orientan el desarrollo económico social y el ordenamiento territorial en el largo plazo, con el fin de aumentar la productividad general y sectorial con responsabilidad fiscal.</w:t>
            </w:r>
          </w:p>
        </w:tc>
      </w:tr>
      <w:tr w:rsidR="0029789B" w14:paraId="3F3B7014" w14:textId="77777777" w:rsidTr="0012093E">
        <w:tc>
          <w:tcPr>
            <w:tcW w:w="1559" w:type="dxa"/>
            <w:shd w:val="clear" w:color="auto" w:fill="EFF5FB"/>
            <w:vAlign w:val="center"/>
          </w:tcPr>
          <w:p w14:paraId="1B4C7DF1" w14:textId="5DF679D1"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 xml:space="preserve">Decreto 243 de 2009 </w:t>
            </w:r>
          </w:p>
        </w:tc>
        <w:tc>
          <w:tcPr>
            <w:tcW w:w="3544" w:type="dxa"/>
            <w:shd w:val="clear" w:color="auto" w:fill="EFF5FB"/>
            <w:vAlign w:val="center"/>
          </w:tcPr>
          <w:p w14:paraId="60884065" w14:textId="53AC3BE3" w:rsidR="0029789B" w:rsidRPr="0029789B" w:rsidRDefault="0029789B" w:rsidP="0029789B">
            <w:pPr>
              <w:pStyle w:val="Prrafodelista"/>
              <w:spacing w:after="0" w:line="240" w:lineRule="auto"/>
              <w:ind w:left="0" w:firstLine="0"/>
              <w:jc w:val="both"/>
              <w:rPr>
                <w:rFonts w:eastAsia="Arial" w:cs="Arial"/>
                <w:b/>
                <w:bCs/>
                <w:sz w:val="16"/>
                <w:szCs w:val="16"/>
              </w:rPr>
            </w:pPr>
            <w:proofErr w:type="gramStart"/>
            <w:r w:rsidRPr="0029789B">
              <w:rPr>
                <w:rFonts w:ascii="Calibri" w:hAnsi="Calibri"/>
                <w:color w:val="000000"/>
                <w:sz w:val="16"/>
                <w:szCs w:val="16"/>
              </w:rPr>
              <w:t>Reglamentación  de</w:t>
            </w:r>
            <w:proofErr w:type="gramEnd"/>
            <w:r w:rsidRPr="0029789B">
              <w:rPr>
                <w:rFonts w:ascii="Calibri" w:hAnsi="Calibri"/>
                <w:color w:val="000000"/>
                <w:sz w:val="16"/>
                <w:szCs w:val="16"/>
              </w:rPr>
              <w:t xml:space="preserve"> la figura de Gestor Ambiental prevista en el Acuerdo  333 de 2008</w:t>
            </w:r>
          </w:p>
        </w:tc>
        <w:tc>
          <w:tcPr>
            <w:tcW w:w="4012" w:type="dxa"/>
            <w:shd w:val="clear" w:color="auto" w:fill="EFF5FB"/>
            <w:vAlign w:val="center"/>
          </w:tcPr>
          <w:p w14:paraId="661B4538" w14:textId="11826210"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 xml:space="preserve">Establece la figura para las entidades del Distrito Capital para ejecutar planes congruentes con la reducción de las </w:t>
            </w:r>
            <w:proofErr w:type="gramStart"/>
            <w:r w:rsidRPr="0029789B">
              <w:rPr>
                <w:rFonts w:ascii="Calibri" w:hAnsi="Calibri"/>
                <w:color w:val="000000"/>
                <w:sz w:val="16"/>
                <w:szCs w:val="16"/>
              </w:rPr>
              <w:lastRenderedPageBreak/>
              <w:t>actividades  y</w:t>
            </w:r>
            <w:proofErr w:type="gramEnd"/>
            <w:r w:rsidRPr="0029789B">
              <w:rPr>
                <w:rFonts w:ascii="Calibri" w:hAnsi="Calibri"/>
                <w:color w:val="000000"/>
                <w:sz w:val="16"/>
                <w:szCs w:val="16"/>
              </w:rPr>
              <w:t xml:space="preserve"> los costos ambientales producidos por el sector oficial y define sus condiciones y requisitos.</w:t>
            </w:r>
          </w:p>
        </w:tc>
      </w:tr>
      <w:tr w:rsidR="0029789B" w14:paraId="2D9EB681" w14:textId="77777777" w:rsidTr="0012093E">
        <w:tc>
          <w:tcPr>
            <w:tcW w:w="1559" w:type="dxa"/>
            <w:shd w:val="clear" w:color="auto" w:fill="EFF5FB"/>
            <w:vAlign w:val="center"/>
          </w:tcPr>
          <w:p w14:paraId="5FCD300E" w14:textId="51F8B72F"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lastRenderedPageBreak/>
              <w:t>Decreto 509 de 2009</w:t>
            </w:r>
          </w:p>
        </w:tc>
        <w:tc>
          <w:tcPr>
            <w:tcW w:w="3544" w:type="dxa"/>
            <w:shd w:val="clear" w:color="auto" w:fill="EFF5FB"/>
            <w:vAlign w:val="center"/>
          </w:tcPr>
          <w:p w14:paraId="5DB98371" w14:textId="4D9868D4"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PACA- PIGA-PAL</w:t>
            </w:r>
          </w:p>
        </w:tc>
        <w:tc>
          <w:tcPr>
            <w:tcW w:w="4012" w:type="dxa"/>
            <w:shd w:val="clear" w:color="auto" w:fill="EFF5FB"/>
            <w:vAlign w:val="center"/>
          </w:tcPr>
          <w:p w14:paraId="30F477A5" w14:textId="6AFA764A"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Establece los tres componentes técnicos ambientales.</w:t>
            </w:r>
          </w:p>
        </w:tc>
      </w:tr>
      <w:tr w:rsidR="0029789B" w14:paraId="74366AC4" w14:textId="77777777" w:rsidTr="0012093E">
        <w:tc>
          <w:tcPr>
            <w:tcW w:w="1559" w:type="dxa"/>
            <w:shd w:val="clear" w:color="auto" w:fill="EFF5FB"/>
            <w:vAlign w:val="center"/>
          </w:tcPr>
          <w:p w14:paraId="5D9D046C" w14:textId="2598D697"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Decreto 596 de 2011</w:t>
            </w:r>
          </w:p>
        </w:tc>
        <w:tc>
          <w:tcPr>
            <w:tcW w:w="3544" w:type="dxa"/>
            <w:shd w:val="clear" w:color="auto" w:fill="EFF5FB"/>
            <w:vAlign w:val="center"/>
          </w:tcPr>
          <w:p w14:paraId="6BBF968C" w14:textId="736D334C"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Política Distrital de Salud Ambiental</w:t>
            </w:r>
          </w:p>
        </w:tc>
        <w:tc>
          <w:tcPr>
            <w:tcW w:w="4012" w:type="dxa"/>
            <w:shd w:val="clear" w:color="auto" w:fill="EFF5FB"/>
            <w:vAlign w:val="center"/>
          </w:tcPr>
          <w:p w14:paraId="2FFF679B" w14:textId="5FBC9E9E"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Se adopta la política pública de salud ambiental para Bogotá D.C</w:t>
            </w:r>
            <w:r w:rsidR="00A75C30">
              <w:rPr>
                <w:rFonts w:ascii="Calibri" w:hAnsi="Calibri"/>
                <w:color w:val="000000"/>
                <w:sz w:val="16"/>
                <w:szCs w:val="16"/>
              </w:rPr>
              <w:t xml:space="preserve">. </w:t>
            </w:r>
            <w:r w:rsidRPr="0029789B">
              <w:rPr>
                <w:rFonts w:ascii="Calibri" w:hAnsi="Calibri"/>
                <w:color w:val="000000"/>
                <w:sz w:val="16"/>
                <w:szCs w:val="16"/>
              </w:rPr>
              <w:t>en el periodo 2011 - 2023, la cual tiene como objetivo orientar la gestión para el mejoramiento de la salud ambiental en el territorio urbano y rural de Distrito Capital,  mediante el fortalecimiento institucional, el trabajo articulado de la administración  y la construcción de espacios de coordinación, investigación y acción participativa en las diferentes líneas de intervención, que permitan una alta calidad de vida y salud para todas las personas que en él habitan.</w:t>
            </w:r>
          </w:p>
        </w:tc>
      </w:tr>
      <w:tr w:rsidR="0029789B" w14:paraId="2CCA2041" w14:textId="77777777" w:rsidTr="0012093E">
        <w:tc>
          <w:tcPr>
            <w:tcW w:w="1559" w:type="dxa"/>
            <w:shd w:val="clear" w:color="auto" w:fill="EFF5FB"/>
            <w:vAlign w:val="center"/>
          </w:tcPr>
          <w:p w14:paraId="47626623" w14:textId="5C71B2A7"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Decreto 575 de 2011</w:t>
            </w:r>
          </w:p>
        </w:tc>
        <w:tc>
          <w:tcPr>
            <w:tcW w:w="3544" w:type="dxa"/>
            <w:shd w:val="clear" w:color="auto" w:fill="EFF5FB"/>
            <w:vAlign w:val="center"/>
          </w:tcPr>
          <w:p w14:paraId="24F51D0A" w14:textId="10DF9839"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CAL, Comisión Ambiental Local</w:t>
            </w:r>
          </w:p>
        </w:tc>
        <w:tc>
          <w:tcPr>
            <w:tcW w:w="4012" w:type="dxa"/>
            <w:shd w:val="clear" w:color="auto" w:fill="EFF5FB"/>
            <w:vAlign w:val="center"/>
          </w:tcPr>
          <w:p w14:paraId="6A67D7AE" w14:textId="6CDF773B" w:rsidR="0029789B" w:rsidRPr="0029789B" w:rsidRDefault="0029789B" w:rsidP="0029789B">
            <w:pPr>
              <w:pStyle w:val="Prrafodelista"/>
              <w:spacing w:after="0" w:line="240" w:lineRule="auto"/>
              <w:ind w:left="0" w:firstLine="0"/>
              <w:jc w:val="both"/>
              <w:rPr>
                <w:rFonts w:eastAsia="Arial" w:cs="Arial"/>
                <w:b/>
                <w:bCs/>
                <w:sz w:val="16"/>
                <w:szCs w:val="16"/>
              </w:rPr>
            </w:pPr>
            <w:r w:rsidRPr="0029789B">
              <w:rPr>
                <w:rFonts w:ascii="Calibri" w:hAnsi="Calibri"/>
                <w:color w:val="000000"/>
                <w:sz w:val="16"/>
                <w:szCs w:val="16"/>
              </w:rPr>
              <w:t>Se reglamenta la organización y conformación de las Comisiones Ambientales Locales.</w:t>
            </w:r>
          </w:p>
        </w:tc>
      </w:tr>
    </w:tbl>
    <w:p w14:paraId="403B2A1E" w14:textId="77777777" w:rsidR="00E96915" w:rsidRDefault="002D7385" w:rsidP="00E96915">
      <w:pPr>
        <w:pBdr>
          <w:top w:val="nil"/>
          <w:left w:val="nil"/>
          <w:bottom w:val="nil"/>
          <w:right w:val="nil"/>
          <w:between w:val="nil"/>
        </w:pBdr>
        <w:spacing w:after="0"/>
        <w:ind w:firstLine="0"/>
        <w:jc w:val="both"/>
        <w:rPr>
          <w:b/>
          <w:noProof/>
        </w:rPr>
      </w:pPr>
      <w:r w:rsidRPr="002D7385">
        <w:rPr>
          <w:noProof/>
        </w:rPr>
        <w:drawing>
          <wp:anchor distT="0" distB="0" distL="114300" distR="114300" simplePos="0" relativeHeight="251677696" behindDoc="0" locked="0" layoutInCell="1" allowOverlap="1" wp14:anchorId="6AD9D8AA" wp14:editId="4897B42B">
            <wp:simplePos x="0" y="0"/>
            <wp:positionH relativeFrom="margin">
              <wp:posOffset>62865</wp:posOffset>
            </wp:positionH>
            <wp:positionV relativeFrom="margin">
              <wp:posOffset>-17202988</wp:posOffset>
            </wp:positionV>
            <wp:extent cx="6003290" cy="4956810"/>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03290" cy="49568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CEC7C3" w14:textId="3D56A66B" w:rsidR="00172704" w:rsidRPr="00E96915" w:rsidRDefault="00E96915" w:rsidP="00E96915">
      <w:pPr>
        <w:pBdr>
          <w:top w:val="nil"/>
          <w:left w:val="nil"/>
          <w:bottom w:val="nil"/>
          <w:right w:val="nil"/>
          <w:between w:val="nil"/>
        </w:pBdr>
        <w:spacing w:after="0" w:line="240" w:lineRule="auto"/>
        <w:ind w:firstLine="0"/>
        <w:jc w:val="both"/>
        <w:rPr>
          <w:b/>
          <w:noProof/>
        </w:rPr>
      </w:pPr>
      <w:r>
        <w:rPr>
          <w:b/>
          <w:noProof/>
        </w:rPr>
        <w:t xml:space="preserve">1.4.2 </w:t>
      </w:r>
      <w:r w:rsidR="000A356D" w:rsidRPr="00E96915">
        <w:rPr>
          <w:b/>
          <w:noProof/>
        </w:rPr>
        <w:t>Normatividad ambiental específica</w:t>
      </w:r>
    </w:p>
    <w:p w14:paraId="4A8E36FA" w14:textId="5363ABBF" w:rsidR="008C1282" w:rsidRPr="00172704" w:rsidRDefault="00172704" w:rsidP="00E96915">
      <w:pPr>
        <w:pStyle w:val="Ttulo4"/>
        <w:spacing w:line="240" w:lineRule="auto"/>
        <w:rPr>
          <w:noProof/>
        </w:rPr>
      </w:pPr>
      <w:r w:rsidRPr="00172704">
        <w:rPr>
          <w:noProof/>
        </w:rPr>
        <w:t>1.</w:t>
      </w:r>
      <w:r>
        <w:rPr>
          <w:noProof/>
        </w:rPr>
        <w:t xml:space="preserve">4.2.1 </w:t>
      </w:r>
      <w:r w:rsidR="008E3D8C" w:rsidRPr="00172704">
        <w:rPr>
          <w:noProof/>
        </w:rPr>
        <w:t>Agua</w:t>
      </w:r>
      <w:r w:rsidR="008C1282" w:rsidRPr="00172704">
        <w:rPr>
          <w:noProof/>
        </w:rPr>
        <w:t>.</w:t>
      </w:r>
    </w:p>
    <w:tbl>
      <w:tblPr>
        <w:tblStyle w:val="Tablaconcuadrcula"/>
        <w:tblW w:w="0" w:type="auto"/>
        <w:tblInd w:w="-11" w:type="dxa"/>
        <w:tblLook w:val="04A0" w:firstRow="1" w:lastRow="0" w:firstColumn="1" w:lastColumn="0" w:noHBand="0" w:noVBand="1"/>
      </w:tblPr>
      <w:tblGrid>
        <w:gridCol w:w="1849"/>
        <w:gridCol w:w="3119"/>
        <w:gridCol w:w="4426"/>
      </w:tblGrid>
      <w:tr w:rsidR="00764CA7" w14:paraId="58E910E5" w14:textId="77777777" w:rsidTr="0012093E">
        <w:trPr>
          <w:trHeight w:val="209"/>
        </w:trPr>
        <w:tc>
          <w:tcPr>
            <w:tcW w:w="1849" w:type="dxa"/>
            <w:shd w:val="clear" w:color="auto" w:fill="8EAADB" w:themeFill="accent1" w:themeFillTint="99"/>
            <w:vAlign w:val="center"/>
          </w:tcPr>
          <w:p w14:paraId="4C38A743" w14:textId="52B1BC07" w:rsidR="00764CA7" w:rsidRPr="0012093E" w:rsidRDefault="00764CA7" w:rsidP="0012093E">
            <w:pPr>
              <w:spacing w:line="240" w:lineRule="auto"/>
              <w:ind w:firstLine="0"/>
              <w:jc w:val="center"/>
              <w:rPr>
                <w:b/>
                <w:bCs/>
                <w:noProof/>
              </w:rPr>
            </w:pPr>
            <w:r w:rsidRPr="0012093E">
              <w:rPr>
                <w:rFonts w:ascii="Calibri" w:hAnsi="Calibri"/>
                <w:b/>
                <w:bCs/>
                <w:color w:val="000000"/>
                <w:sz w:val="20"/>
                <w:szCs w:val="20"/>
              </w:rPr>
              <w:t>NORMA</w:t>
            </w:r>
          </w:p>
        </w:tc>
        <w:tc>
          <w:tcPr>
            <w:tcW w:w="3119" w:type="dxa"/>
            <w:shd w:val="clear" w:color="auto" w:fill="8EAADB" w:themeFill="accent1" w:themeFillTint="99"/>
            <w:vAlign w:val="center"/>
          </w:tcPr>
          <w:p w14:paraId="34758FEE" w14:textId="4ED71F07" w:rsidR="00764CA7" w:rsidRPr="0012093E" w:rsidRDefault="00764CA7" w:rsidP="0012093E">
            <w:pPr>
              <w:spacing w:line="240" w:lineRule="auto"/>
              <w:ind w:firstLine="0"/>
              <w:jc w:val="center"/>
              <w:rPr>
                <w:b/>
                <w:bCs/>
                <w:noProof/>
              </w:rPr>
            </w:pPr>
            <w:r w:rsidRPr="0012093E">
              <w:rPr>
                <w:rFonts w:ascii="Calibri" w:hAnsi="Calibri"/>
                <w:b/>
                <w:bCs/>
                <w:color w:val="000000"/>
                <w:sz w:val="20"/>
                <w:szCs w:val="20"/>
              </w:rPr>
              <w:t>DISPOSICIÓN</w:t>
            </w:r>
          </w:p>
        </w:tc>
        <w:tc>
          <w:tcPr>
            <w:tcW w:w="4426" w:type="dxa"/>
            <w:shd w:val="clear" w:color="auto" w:fill="8EAADB" w:themeFill="accent1" w:themeFillTint="99"/>
            <w:vAlign w:val="center"/>
          </w:tcPr>
          <w:p w14:paraId="1D1F6818" w14:textId="69BE5E99" w:rsidR="00764CA7" w:rsidRPr="0012093E" w:rsidRDefault="00764CA7" w:rsidP="0012093E">
            <w:pPr>
              <w:spacing w:line="240" w:lineRule="auto"/>
              <w:ind w:firstLine="0"/>
              <w:jc w:val="center"/>
              <w:rPr>
                <w:b/>
                <w:bCs/>
                <w:noProof/>
              </w:rPr>
            </w:pPr>
            <w:r w:rsidRPr="0012093E">
              <w:rPr>
                <w:rFonts w:ascii="Calibri" w:hAnsi="Calibri"/>
                <w:b/>
                <w:bCs/>
                <w:color w:val="000000"/>
                <w:sz w:val="20"/>
                <w:szCs w:val="20"/>
              </w:rPr>
              <w:t>OBSERVACIONES</w:t>
            </w:r>
          </w:p>
        </w:tc>
      </w:tr>
      <w:tr w:rsidR="00764CA7" w14:paraId="2958F3AC" w14:textId="77777777" w:rsidTr="0012093E">
        <w:tc>
          <w:tcPr>
            <w:tcW w:w="1849" w:type="dxa"/>
            <w:shd w:val="clear" w:color="auto" w:fill="E7F0F9"/>
            <w:vAlign w:val="center"/>
          </w:tcPr>
          <w:p w14:paraId="003A1988" w14:textId="473FFF1B" w:rsidR="00764CA7" w:rsidRDefault="00764CA7" w:rsidP="00764CA7">
            <w:pPr>
              <w:spacing w:line="240" w:lineRule="auto"/>
              <w:ind w:firstLine="0"/>
              <w:jc w:val="both"/>
              <w:rPr>
                <w:noProof/>
              </w:rPr>
            </w:pPr>
            <w:r>
              <w:rPr>
                <w:rFonts w:ascii="Calibri" w:hAnsi="Calibri"/>
                <w:color w:val="000000"/>
                <w:sz w:val="20"/>
                <w:szCs w:val="20"/>
              </w:rPr>
              <w:t>Ley 373 de 1997</w:t>
            </w:r>
          </w:p>
        </w:tc>
        <w:tc>
          <w:tcPr>
            <w:tcW w:w="3119" w:type="dxa"/>
            <w:shd w:val="clear" w:color="auto" w:fill="E7F0F9"/>
            <w:vAlign w:val="center"/>
          </w:tcPr>
          <w:p w14:paraId="4FF21EF1" w14:textId="7D2A7B62" w:rsidR="00764CA7" w:rsidRDefault="00764CA7" w:rsidP="00764CA7">
            <w:pPr>
              <w:spacing w:line="240" w:lineRule="auto"/>
              <w:ind w:firstLine="0"/>
              <w:jc w:val="both"/>
              <w:rPr>
                <w:noProof/>
              </w:rPr>
            </w:pPr>
            <w:r>
              <w:rPr>
                <w:rFonts w:ascii="Calibri" w:hAnsi="Calibri"/>
                <w:color w:val="000000"/>
                <w:sz w:val="20"/>
                <w:szCs w:val="20"/>
              </w:rPr>
              <w:t>Uso eficiente y ahorro de agua</w:t>
            </w:r>
          </w:p>
        </w:tc>
        <w:tc>
          <w:tcPr>
            <w:tcW w:w="4426" w:type="dxa"/>
            <w:shd w:val="clear" w:color="auto" w:fill="E7F0F9"/>
            <w:vAlign w:val="center"/>
          </w:tcPr>
          <w:p w14:paraId="1699E7A9" w14:textId="7CE3FC82" w:rsidR="00764CA7" w:rsidRDefault="00764CA7" w:rsidP="00764CA7">
            <w:pPr>
              <w:spacing w:line="240" w:lineRule="auto"/>
              <w:ind w:firstLine="0"/>
              <w:jc w:val="both"/>
              <w:rPr>
                <w:noProof/>
              </w:rPr>
            </w:pPr>
            <w:r>
              <w:rPr>
                <w:rFonts w:ascii="Calibri" w:hAnsi="Calibri"/>
                <w:color w:val="000000"/>
                <w:sz w:val="20"/>
                <w:szCs w:val="20"/>
              </w:rPr>
              <w:t xml:space="preserve">Todo plan ambiental regional y municipal debe incorporar </w:t>
            </w:r>
            <w:proofErr w:type="gramStart"/>
            <w:r>
              <w:rPr>
                <w:rFonts w:ascii="Calibri" w:hAnsi="Calibri"/>
                <w:color w:val="000000"/>
                <w:sz w:val="20"/>
                <w:szCs w:val="20"/>
              </w:rPr>
              <w:t>obligatoriamente  un</w:t>
            </w:r>
            <w:proofErr w:type="gramEnd"/>
            <w:r>
              <w:rPr>
                <w:rFonts w:ascii="Calibri" w:hAnsi="Calibri"/>
                <w:color w:val="000000"/>
                <w:sz w:val="20"/>
                <w:szCs w:val="20"/>
              </w:rPr>
              <w:t xml:space="preserve"> programa para el uso eficiente   y ahorro del agua. Las Corporaciones Autóno</w:t>
            </w:r>
            <w:r w:rsidR="0012093E">
              <w:rPr>
                <w:rFonts w:ascii="Calibri" w:hAnsi="Calibri"/>
                <w:color w:val="000000"/>
                <w:sz w:val="20"/>
                <w:szCs w:val="20"/>
              </w:rPr>
              <w:t>m</w:t>
            </w:r>
            <w:r>
              <w:rPr>
                <w:rFonts w:ascii="Calibri" w:hAnsi="Calibri"/>
                <w:color w:val="000000"/>
                <w:sz w:val="20"/>
                <w:szCs w:val="20"/>
              </w:rPr>
              <w:t xml:space="preserve">as Regionales </w:t>
            </w:r>
            <w:proofErr w:type="gramStart"/>
            <w:r>
              <w:rPr>
                <w:rFonts w:ascii="Calibri" w:hAnsi="Calibri"/>
                <w:color w:val="000000"/>
                <w:sz w:val="20"/>
                <w:szCs w:val="20"/>
              </w:rPr>
              <w:t>y  más</w:t>
            </w:r>
            <w:proofErr w:type="gramEnd"/>
            <w:r>
              <w:rPr>
                <w:rFonts w:ascii="Calibri" w:hAnsi="Calibri"/>
                <w:color w:val="000000"/>
                <w:sz w:val="20"/>
                <w:szCs w:val="20"/>
              </w:rPr>
              <w:t xml:space="preserve"> autoridades ambientales encargadas del manejo, protección y control del recurso hídrico en su respectiva jurisdicción, aprobarán la implantación y ejecución  de dichos programas en coordinación  con otras corporaciones autónomas que compartan las fuentes que abastecen los diferentes usos.</w:t>
            </w:r>
          </w:p>
        </w:tc>
      </w:tr>
      <w:tr w:rsidR="00764CA7" w14:paraId="5DB6AF9C" w14:textId="77777777" w:rsidTr="0012093E">
        <w:tc>
          <w:tcPr>
            <w:tcW w:w="1849" w:type="dxa"/>
            <w:shd w:val="clear" w:color="auto" w:fill="E7F0F9"/>
            <w:vAlign w:val="center"/>
          </w:tcPr>
          <w:p w14:paraId="5488C694" w14:textId="76472EA2" w:rsidR="00764CA7" w:rsidRDefault="00764CA7" w:rsidP="00764CA7">
            <w:pPr>
              <w:spacing w:line="240" w:lineRule="auto"/>
              <w:ind w:firstLine="0"/>
              <w:jc w:val="both"/>
              <w:rPr>
                <w:noProof/>
              </w:rPr>
            </w:pPr>
            <w:r>
              <w:rPr>
                <w:rFonts w:ascii="Calibri" w:hAnsi="Calibri"/>
                <w:color w:val="000000"/>
                <w:sz w:val="20"/>
                <w:szCs w:val="20"/>
              </w:rPr>
              <w:t>Resolución 1074 de 1997 DAMA</w:t>
            </w:r>
          </w:p>
        </w:tc>
        <w:tc>
          <w:tcPr>
            <w:tcW w:w="3119" w:type="dxa"/>
            <w:shd w:val="clear" w:color="auto" w:fill="E7F0F9"/>
            <w:vAlign w:val="center"/>
          </w:tcPr>
          <w:p w14:paraId="1E370558" w14:textId="23D502D3" w:rsidR="00764CA7" w:rsidRDefault="00764CA7" w:rsidP="00764CA7">
            <w:pPr>
              <w:spacing w:line="240" w:lineRule="auto"/>
              <w:ind w:firstLine="0"/>
              <w:jc w:val="both"/>
              <w:rPr>
                <w:noProof/>
              </w:rPr>
            </w:pPr>
            <w:r>
              <w:rPr>
                <w:rFonts w:ascii="Calibri" w:hAnsi="Calibri"/>
                <w:color w:val="000000"/>
                <w:sz w:val="20"/>
                <w:szCs w:val="20"/>
              </w:rPr>
              <w:t>Por la cual se establecen los estándares ambientales en materia de vertimientos.</w:t>
            </w:r>
          </w:p>
        </w:tc>
        <w:tc>
          <w:tcPr>
            <w:tcW w:w="4426" w:type="dxa"/>
            <w:shd w:val="clear" w:color="auto" w:fill="E7F0F9"/>
            <w:vAlign w:val="center"/>
          </w:tcPr>
          <w:p w14:paraId="3FD4B1D3" w14:textId="3DDA29CD" w:rsidR="00764CA7" w:rsidRDefault="00764CA7" w:rsidP="00764CA7">
            <w:pPr>
              <w:spacing w:line="240" w:lineRule="auto"/>
              <w:ind w:firstLine="0"/>
              <w:jc w:val="both"/>
              <w:rPr>
                <w:noProof/>
              </w:rPr>
            </w:pPr>
            <w:r>
              <w:rPr>
                <w:rFonts w:ascii="Calibri" w:hAnsi="Calibri"/>
                <w:color w:val="000000"/>
                <w:sz w:val="20"/>
                <w:szCs w:val="20"/>
              </w:rPr>
              <w:t>Regula concentraciones máximas permisibles para verter a un cuerpo de agua y/o red de alcantarillado público y fija las correspondientes sanciones.</w:t>
            </w:r>
          </w:p>
        </w:tc>
      </w:tr>
      <w:tr w:rsidR="00764CA7" w14:paraId="5B4B94D1" w14:textId="77777777" w:rsidTr="0012093E">
        <w:tc>
          <w:tcPr>
            <w:tcW w:w="1849" w:type="dxa"/>
            <w:shd w:val="clear" w:color="auto" w:fill="E7F0F9"/>
            <w:vAlign w:val="center"/>
          </w:tcPr>
          <w:p w14:paraId="447BEA35" w14:textId="75826C72" w:rsidR="00764CA7" w:rsidRDefault="00764CA7" w:rsidP="00764CA7">
            <w:pPr>
              <w:spacing w:line="240" w:lineRule="auto"/>
              <w:ind w:firstLine="0"/>
              <w:jc w:val="both"/>
              <w:rPr>
                <w:noProof/>
              </w:rPr>
            </w:pPr>
            <w:r>
              <w:rPr>
                <w:rFonts w:ascii="Calibri" w:hAnsi="Calibri"/>
                <w:color w:val="000000"/>
                <w:sz w:val="20"/>
                <w:szCs w:val="20"/>
              </w:rPr>
              <w:t>Acuerdo 15 de 2000 CAR</w:t>
            </w:r>
          </w:p>
        </w:tc>
        <w:tc>
          <w:tcPr>
            <w:tcW w:w="3119" w:type="dxa"/>
            <w:shd w:val="clear" w:color="auto" w:fill="E7F0F9"/>
            <w:vAlign w:val="center"/>
          </w:tcPr>
          <w:p w14:paraId="60D4DABA" w14:textId="27873C7D" w:rsidR="00764CA7" w:rsidRDefault="00764CA7" w:rsidP="00764CA7">
            <w:pPr>
              <w:spacing w:line="240" w:lineRule="auto"/>
              <w:ind w:firstLine="0"/>
              <w:jc w:val="both"/>
              <w:rPr>
                <w:noProof/>
              </w:rPr>
            </w:pPr>
            <w:r>
              <w:rPr>
                <w:rFonts w:ascii="Calibri" w:hAnsi="Calibri"/>
                <w:color w:val="000000"/>
                <w:sz w:val="20"/>
                <w:szCs w:val="20"/>
              </w:rPr>
              <w:t xml:space="preserve">Por medio del cual se fija la meta de reducción de la carga contaminante por vertimientos </w:t>
            </w:r>
            <w:proofErr w:type="gramStart"/>
            <w:r>
              <w:rPr>
                <w:rFonts w:ascii="Calibri" w:hAnsi="Calibri"/>
                <w:color w:val="000000"/>
                <w:sz w:val="20"/>
                <w:szCs w:val="20"/>
              </w:rPr>
              <w:t>puntuales  en</w:t>
            </w:r>
            <w:proofErr w:type="gramEnd"/>
            <w:r>
              <w:rPr>
                <w:rFonts w:ascii="Calibri" w:hAnsi="Calibri"/>
                <w:color w:val="000000"/>
                <w:sz w:val="20"/>
                <w:szCs w:val="20"/>
              </w:rPr>
              <w:t xml:space="preserve"> las cuencas de la jurisdicción de la CAR. </w:t>
            </w:r>
          </w:p>
        </w:tc>
        <w:tc>
          <w:tcPr>
            <w:tcW w:w="4426" w:type="dxa"/>
            <w:shd w:val="clear" w:color="auto" w:fill="E7F0F9"/>
            <w:vAlign w:val="center"/>
          </w:tcPr>
          <w:p w14:paraId="60D80BDA" w14:textId="0A28509E" w:rsidR="00764CA7" w:rsidRDefault="00764CA7" w:rsidP="00764CA7">
            <w:pPr>
              <w:spacing w:line="240" w:lineRule="auto"/>
              <w:ind w:firstLine="0"/>
              <w:jc w:val="both"/>
              <w:rPr>
                <w:noProof/>
              </w:rPr>
            </w:pPr>
            <w:r>
              <w:rPr>
                <w:rFonts w:ascii="Calibri" w:hAnsi="Calibri"/>
                <w:color w:val="000000"/>
                <w:sz w:val="20"/>
                <w:szCs w:val="20"/>
              </w:rPr>
              <w:t xml:space="preserve">Se establecen las metas de la reducción para la cuenca del río Bogotá y demás cuencas de la jurisdicción de la CAR. </w:t>
            </w:r>
          </w:p>
        </w:tc>
      </w:tr>
      <w:tr w:rsidR="00764CA7" w14:paraId="357A0BA6" w14:textId="77777777" w:rsidTr="0012093E">
        <w:tc>
          <w:tcPr>
            <w:tcW w:w="1849" w:type="dxa"/>
            <w:shd w:val="clear" w:color="auto" w:fill="E7F0F9"/>
            <w:vAlign w:val="center"/>
          </w:tcPr>
          <w:p w14:paraId="7D9901F8" w14:textId="19370C4F" w:rsidR="00764CA7" w:rsidRDefault="0012093E" w:rsidP="00764CA7">
            <w:pPr>
              <w:spacing w:line="240" w:lineRule="auto"/>
              <w:ind w:firstLine="0"/>
              <w:jc w:val="both"/>
              <w:rPr>
                <w:noProof/>
              </w:rPr>
            </w:pPr>
            <w:r>
              <w:rPr>
                <w:rFonts w:ascii="Calibri" w:hAnsi="Calibri"/>
                <w:color w:val="000000"/>
                <w:sz w:val="20"/>
                <w:szCs w:val="20"/>
              </w:rPr>
              <w:t>Resolución</w:t>
            </w:r>
            <w:r w:rsidR="00764CA7">
              <w:rPr>
                <w:rFonts w:ascii="Calibri" w:hAnsi="Calibri"/>
                <w:color w:val="000000"/>
                <w:sz w:val="20"/>
                <w:szCs w:val="20"/>
              </w:rPr>
              <w:t xml:space="preserve"> 1596 de 2001 DAMA.</w:t>
            </w:r>
          </w:p>
        </w:tc>
        <w:tc>
          <w:tcPr>
            <w:tcW w:w="3119" w:type="dxa"/>
            <w:shd w:val="clear" w:color="auto" w:fill="E7F0F9"/>
            <w:vAlign w:val="center"/>
          </w:tcPr>
          <w:p w14:paraId="71ED8472" w14:textId="4D055465" w:rsidR="00764CA7" w:rsidRDefault="00764CA7" w:rsidP="00764CA7">
            <w:pPr>
              <w:spacing w:line="240" w:lineRule="auto"/>
              <w:ind w:firstLine="0"/>
              <w:jc w:val="both"/>
              <w:rPr>
                <w:noProof/>
              </w:rPr>
            </w:pPr>
            <w:r>
              <w:rPr>
                <w:rFonts w:ascii="Calibri" w:hAnsi="Calibri"/>
                <w:color w:val="000000"/>
                <w:sz w:val="20"/>
                <w:szCs w:val="20"/>
              </w:rPr>
              <w:t xml:space="preserve">Por medio de la cual </w:t>
            </w:r>
            <w:proofErr w:type="gramStart"/>
            <w:r>
              <w:rPr>
                <w:rFonts w:ascii="Calibri" w:hAnsi="Calibri"/>
                <w:color w:val="000000"/>
                <w:sz w:val="20"/>
                <w:szCs w:val="20"/>
              </w:rPr>
              <w:t>e</w:t>
            </w:r>
            <w:proofErr w:type="gramEnd"/>
            <w:r>
              <w:rPr>
                <w:rFonts w:ascii="Calibri" w:hAnsi="Calibri"/>
                <w:color w:val="000000"/>
                <w:sz w:val="20"/>
                <w:szCs w:val="20"/>
              </w:rPr>
              <w:t xml:space="preserve"> modifica la Resolución 1074 de 1997.</w:t>
            </w:r>
          </w:p>
        </w:tc>
        <w:tc>
          <w:tcPr>
            <w:tcW w:w="4426" w:type="dxa"/>
            <w:shd w:val="clear" w:color="auto" w:fill="E7F0F9"/>
            <w:vAlign w:val="center"/>
          </w:tcPr>
          <w:p w14:paraId="3FFF0545" w14:textId="608394D6" w:rsidR="00764CA7" w:rsidRDefault="00764CA7" w:rsidP="00764CA7">
            <w:pPr>
              <w:spacing w:line="240" w:lineRule="auto"/>
              <w:ind w:firstLine="0"/>
              <w:jc w:val="both"/>
              <w:rPr>
                <w:noProof/>
              </w:rPr>
            </w:pPr>
            <w:r>
              <w:rPr>
                <w:rFonts w:ascii="Calibri" w:hAnsi="Calibri"/>
                <w:color w:val="000000"/>
                <w:sz w:val="20"/>
                <w:szCs w:val="20"/>
              </w:rPr>
              <w:t xml:space="preserve">Modifica el parámetro de </w:t>
            </w:r>
            <w:proofErr w:type="gramStart"/>
            <w:r>
              <w:rPr>
                <w:rFonts w:ascii="Calibri" w:hAnsi="Calibri"/>
                <w:color w:val="000000"/>
                <w:sz w:val="20"/>
                <w:szCs w:val="20"/>
              </w:rPr>
              <w:t>Tenso-activos</w:t>
            </w:r>
            <w:proofErr w:type="gramEnd"/>
            <w:r>
              <w:rPr>
                <w:rFonts w:ascii="Calibri" w:hAnsi="Calibri"/>
                <w:color w:val="000000"/>
                <w:sz w:val="20"/>
                <w:szCs w:val="20"/>
              </w:rPr>
              <w:t xml:space="preserve"> (SAAM) de la tabla de concentraciones máximas permisibles para verter a un cuerpo de agua y/o red de alcantarillado público.</w:t>
            </w:r>
          </w:p>
        </w:tc>
      </w:tr>
      <w:tr w:rsidR="00764CA7" w14:paraId="2E619313" w14:textId="77777777" w:rsidTr="0012093E">
        <w:tc>
          <w:tcPr>
            <w:tcW w:w="1849" w:type="dxa"/>
            <w:shd w:val="clear" w:color="auto" w:fill="E7F0F9"/>
            <w:vAlign w:val="center"/>
          </w:tcPr>
          <w:p w14:paraId="261DA225" w14:textId="59E68E0A" w:rsidR="00764CA7" w:rsidRDefault="00764CA7" w:rsidP="00764CA7">
            <w:pPr>
              <w:spacing w:line="240" w:lineRule="auto"/>
              <w:ind w:firstLine="0"/>
              <w:jc w:val="both"/>
              <w:rPr>
                <w:noProof/>
              </w:rPr>
            </w:pPr>
            <w:r>
              <w:rPr>
                <w:rFonts w:ascii="Calibri" w:hAnsi="Calibri"/>
                <w:color w:val="000000"/>
                <w:sz w:val="20"/>
                <w:szCs w:val="20"/>
              </w:rPr>
              <w:t xml:space="preserve">Resolución 1433 de 2004 Ministerio de Ambiente, Vivienda Desarrollo y </w:t>
            </w:r>
            <w:r w:rsidR="0012093E">
              <w:rPr>
                <w:rFonts w:ascii="Calibri" w:hAnsi="Calibri"/>
                <w:color w:val="000000"/>
                <w:sz w:val="20"/>
                <w:szCs w:val="20"/>
              </w:rPr>
              <w:t>Territorio</w:t>
            </w:r>
            <w:r>
              <w:rPr>
                <w:rFonts w:ascii="Calibri" w:hAnsi="Calibri"/>
                <w:color w:val="000000"/>
                <w:sz w:val="20"/>
                <w:szCs w:val="20"/>
              </w:rPr>
              <w:t>.</w:t>
            </w:r>
          </w:p>
        </w:tc>
        <w:tc>
          <w:tcPr>
            <w:tcW w:w="3119" w:type="dxa"/>
            <w:shd w:val="clear" w:color="auto" w:fill="E7F0F9"/>
            <w:vAlign w:val="center"/>
          </w:tcPr>
          <w:p w14:paraId="59E219D1" w14:textId="7CFAF805" w:rsidR="00764CA7" w:rsidRDefault="00764CA7" w:rsidP="00764CA7">
            <w:pPr>
              <w:spacing w:line="240" w:lineRule="auto"/>
              <w:ind w:firstLine="0"/>
              <w:jc w:val="both"/>
              <w:rPr>
                <w:noProof/>
              </w:rPr>
            </w:pPr>
            <w:r>
              <w:rPr>
                <w:rFonts w:ascii="Calibri" w:hAnsi="Calibri"/>
                <w:color w:val="000000"/>
                <w:sz w:val="20"/>
                <w:szCs w:val="20"/>
              </w:rPr>
              <w:t>Reglamenta los planes de saneamiento y manejo de vertimientos (PSMV)</w:t>
            </w:r>
          </w:p>
        </w:tc>
        <w:tc>
          <w:tcPr>
            <w:tcW w:w="4426" w:type="dxa"/>
            <w:shd w:val="clear" w:color="auto" w:fill="E7F0F9"/>
            <w:vAlign w:val="center"/>
          </w:tcPr>
          <w:p w14:paraId="52053F7E" w14:textId="21CA11CE" w:rsidR="00764CA7" w:rsidRDefault="00764CA7" w:rsidP="00764CA7">
            <w:pPr>
              <w:spacing w:line="240" w:lineRule="auto"/>
              <w:ind w:firstLine="0"/>
              <w:jc w:val="both"/>
              <w:rPr>
                <w:noProof/>
              </w:rPr>
            </w:pPr>
            <w:r>
              <w:rPr>
                <w:rFonts w:ascii="Calibri" w:hAnsi="Calibri"/>
                <w:color w:val="000000"/>
                <w:sz w:val="20"/>
                <w:szCs w:val="20"/>
              </w:rPr>
              <w:t xml:space="preserve">Establece las medidas necesarias para avanzar en el saneamiento y tratamiento de los vertimientos, incluyendo la recolección, transporte, </w:t>
            </w:r>
            <w:r w:rsidR="0012093E">
              <w:rPr>
                <w:rFonts w:ascii="Calibri" w:hAnsi="Calibri"/>
                <w:color w:val="000000"/>
                <w:sz w:val="20"/>
                <w:szCs w:val="20"/>
              </w:rPr>
              <w:t>tratamiento</w:t>
            </w:r>
            <w:r>
              <w:rPr>
                <w:rFonts w:ascii="Calibri" w:hAnsi="Calibri"/>
                <w:color w:val="000000"/>
                <w:sz w:val="20"/>
                <w:szCs w:val="20"/>
              </w:rPr>
              <w:t xml:space="preserve"> y disposición final de las aguas residuales descargadas al sistema público de alcantarillado, tanto sanitario como fluvial.</w:t>
            </w:r>
          </w:p>
        </w:tc>
      </w:tr>
      <w:tr w:rsidR="00764CA7" w14:paraId="223948EC" w14:textId="77777777" w:rsidTr="0012093E">
        <w:tc>
          <w:tcPr>
            <w:tcW w:w="1849" w:type="dxa"/>
            <w:shd w:val="clear" w:color="auto" w:fill="E7F0F9"/>
            <w:vAlign w:val="center"/>
          </w:tcPr>
          <w:p w14:paraId="7054129F" w14:textId="6DAAF2CD" w:rsidR="00764CA7" w:rsidRDefault="00764CA7" w:rsidP="00764CA7">
            <w:pPr>
              <w:spacing w:line="240" w:lineRule="auto"/>
              <w:ind w:firstLine="0"/>
              <w:jc w:val="both"/>
              <w:rPr>
                <w:noProof/>
              </w:rPr>
            </w:pPr>
            <w:r>
              <w:rPr>
                <w:rFonts w:ascii="Calibri" w:hAnsi="Calibri"/>
                <w:color w:val="000000"/>
                <w:sz w:val="20"/>
                <w:szCs w:val="20"/>
              </w:rPr>
              <w:t xml:space="preserve">Resolución 1508 de 2010 Ministerio de Ambiente, Vivienda </w:t>
            </w:r>
            <w:r>
              <w:rPr>
                <w:rFonts w:ascii="Calibri" w:hAnsi="Calibri"/>
                <w:color w:val="000000"/>
                <w:sz w:val="20"/>
                <w:szCs w:val="20"/>
              </w:rPr>
              <w:lastRenderedPageBreak/>
              <w:t>y Desarrollo Territorial</w:t>
            </w:r>
          </w:p>
        </w:tc>
        <w:tc>
          <w:tcPr>
            <w:tcW w:w="3119" w:type="dxa"/>
            <w:shd w:val="clear" w:color="auto" w:fill="E7F0F9"/>
            <w:vAlign w:val="center"/>
          </w:tcPr>
          <w:p w14:paraId="645B4BFB" w14:textId="28BAE0DB" w:rsidR="00764CA7" w:rsidRDefault="00764CA7" w:rsidP="00764CA7">
            <w:pPr>
              <w:spacing w:line="240" w:lineRule="auto"/>
              <w:ind w:firstLine="0"/>
              <w:jc w:val="both"/>
              <w:rPr>
                <w:noProof/>
              </w:rPr>
            </w:pPr>
            <w:r>
              <w:rPr>
                <w:rFonts w:ascii="Calibri" w:hAnsi="Calibri"/>
                <w:color w:val="000000"/>
                <w:sz w:val="20"/>
                <w:szCs w:val="20"/>
              </w:rPr>
              <w:lastRenderedPageBreak/>
              <w:t xml:space="preserve">Por la cual se establece el procedimiento para el recaudo de los recursos provenientes de las </w:t>
            </w:r>
            <w:r>
              <w:rPr>
                <w:rFonts w:ascii="Calibri" w:hAnsi="Calibri"/>
                <w:color w:val="000000"/>
                <w:sz w:val="20"/>
                <w:szCs w:val="20"/>
              </w:rPr>
              <w:lastRenderedPageBreak/>
              <w:t>medidas adoptadas por la Comisión de Regulación de Agua Potable y Saneamiento Básico</w:t>
            </w:r>
            <w:r w:rsidR="0012093E">
              <w:rPr>
                <w:rFonts w:ascii="Calibri" w:hAnsi="Calibri"/>
                <w:color w:val="000000"/>
                <w:sz w:val="20"/>
                <w:szCs w:val="20"/>
              </w:rPr>
              <w:t>.</w:t>
            </w:r>
          </w:p>
        </w:tc>
        <w:tc>
          <w:tcPr>
            <w:tcW w:w="4426" w:type="dxa"/>
            <w:shd w:val="clear" w:color="auto" w:fill="E7F0F9"/>
            <w:vAlign w:val="center"/>
          </w:tcPr>
          <w:p w14:paraId="1D7EBD85" w14:textId="50FEE96D" w:rsidR="00764CA7" w:rsidRDefault="00764CA7" w:rsidP="00764CA7">
            <w:pPr>
              <w:spacing w:line="240" w:lineRule="auto"/>
              <w:ind w:firstLine="0"/>
              <w:jc w:val="both"/>
              <w:rPr>
                <w:noProof/>
              </w:rPr>
            </w:pPr>
            <w:r>
              <w:rPr>
                <w:rFonts w:ascii="Calibri" w:hAnsi="Calibri"/>
                <w:color w:val="000000"/>
                <w:sz w:val="20"/>
                <w:szCs w:val="20"/>
              </w:rPr>
              <w:lastRenderedPageBreak/>
              <w:t xml:space="preserve">Establece el procedimiento para el recaudo de los recursos provenientes de las medidas adoptadas por la Comisión de Regulación de Agua Potable y </w:t>
            </w:r>
            <w:r>
              <w:rPr>
                <w:rFonts w:ascii="Calibri" w:hAnsi="Calibri"/>
                <w:color w:val="000000"/>
                <w:sz w:val="20"/>
                <w:szCs w:val="20"/>
              </w:rPr>
              <w:lastRenderedPageBreak/>
              <w:t>Saneamiento Básico para promover el uso eficiente y ahorro del agua potable y desestimular su uso excesivo y su respectivo giro al Fondo Nacional Ambiental.</w:t>
            </w:r>
          </w:p>
        </w:tc>
      </w:tr>
      <w:tr w:rsidR="00764CA7" w14:paraId="09EA0023" w14:textId="77777777" w:rsidTr="0012093E">
        <w:tc>
          <w:tcPr>
            <w:tcW w:w="1849" w:type="dxa"/>
            <w:shd w:val="clear" w:color="auto" w:fill="E7F0F9"/>
            <w:vAlign w:val="center"/>
          </w:tcPr>
          <w:p w14:paraId="3F5D0334" w14:textId="5E4DCEAA" w:rsidR="00764CA7" w:rsidRDefault="00764CA7" w:rsidP="00764CA7">
            <w:pPr>
              <w:spacing w:line="240" w:lineRule="auto"/>
              <w:ind w:firstLine="0"/>
              <w:jc w:val="both"/>
              <w:rPr>
                <w:noProof/>
              </w:rPr>
            </w:pPr>
            <w:r>
              <w:rPr>
                <w:rFonts w:ascii="Calibri" w:hAnsi="Calibri"/>
                <w:color w:val="000000"/>
                <w:sz w:val="20"/>
                <w:szCs w:val="20"/>
              </w:rPr>
              <w:lastRenderedPageBreak/>
              <w:t>Decreto 1640 de 2012 Nivel Nacional</w:t>
            </w:r>
          </w:p>
        </w:tc>
        <w:tc>
          <w:tcPr>
            <w:tcW w:w="3119" w:type="dxa"/>
            <w:shd w:val="clear" w:color="auto" w:fill="E7F0F9"/>
            <w:vAlign w:val="center"/>
          </w:tcPr>
          <w:p w14:paraId="6E50C9C7" w14:textId="69FE4851" w:rsidR="00764CA7" w:rsidRDefault="00764CA7" w:rsidP="00764CA7">
            <w:pPr>
              <w:spacing w:line="240" w:lineRule="auto"/>
              <w:ind w:firstLine="0"/>
              <w:jc w:val="both"/>
              <w:rPr>
                <w:noProof/>
              </w:rPr>
            </w:pPr>
            <w:r>
              <w:rPr>
                <w:rFonts w:ascii="Calibri" w:hAnsi="Calibri"/>
                <w:color w:val="000000"/>
                <w:sz w:val="20"/>
                <w:szCs w:val="20"/>
              </w:rPr>
              <w:t>Por medio del cual se reglamentan los instrumentos para la planificación, ordenación y manejo de las cuencas hidrográficas y acuíferos, y se dictan otras disposiciones.</w:t>
            </w:r>
          </w:p>
        </w:tc>
        <w:tc>
          <w:tcPr>
            <w:tcW w:w="4426" w:type="dxa"/>
            <w:shd w:val="clear" w:color="auto" w:fill="E7F0F9"/>
            <w:vAlign w:val="center"/>
          </w:tcPr>
          <w:p w14:paraId="2C59BE65" w14:textId="0D485AC7" w:rsidR="00764CA7" w:rsidRDefault="00764CA7" w:rsidP="00764CA7">
            <w:pPr>
              <w:spacing w:line="240" w:lineRule="auto"/>
              <w:ind w:firstLine="0"/>
              <w:jc w:val="both"/>
              <w:rPr>
                <w:noProof/>
              </w:rPr>
            </w:pPr>
            <w:r>
              <w:rPr>
                <w:rFonts w:ascii="Calibri" w:hAnsi="Calibri"/>
                <w:color w:val="000000"/>
                <w:sz w:val="20"/>
                <w:szCs w:val="20"/>
              </w:rPr>
              <w:t>Dispone como ámbito de aplicación que estas disposiciones son de carácter permanente y rigen en todo el Territorio Nacional aplicando a todas las personas naturales y jurídicas, en especial a las entidades del Estado con competencias al interior de la estructura definida para la planificación, ordenación y manejo de las cuencas hidrográficas y acuíferos del país. Señala la competencia de las autoridades ambientales para hacer Evaluaciones Regionales del Agua</w:t>
            </w:r>
            <w:r w:rsidR="0012093E">
              <w:rPr>
                <w:rFonts w:ascii="Calibri" w:hAnsi="Calibri"/>
                <w:color w:val="000000"/>
                <w:sz w:val="20"/>
                <w:szCs w:val="20"/>
              </w:rPr>
              <w:t xml:space="preserve">. </w:t>
            </w:r>
            <w:r>
              <w:rPr>
                <w:rFonts w:ascii="Calibri" w:hAnsi="Calibri"/>
                <w:color w:val="000000"/>
                <w:sz w:val="20"/>
                <w:szCs w:val="20"/>
              </w:rPr>
              <w:t xml:space="preserve">Por </w:t>
            </w:r>
            <w:proofErr w:type="gramStart"/>
            <w:r>
              <w:rPr>
                <w:rFonts w:ascii="Calibri" w:hAnsi="Calibri"/>
                <w:color w:val="000000"/>
                <w:sz w:val="20"/>
                <w:szCs w:val="20"/>
              </w:rPr>
              <w:t>último</w:t>
            </w:r>
            <w:proofErr w:type="gramEnd"/>
            <w:r>
              <w:rPr>
                <w:rFonts w:ascii="Calibri" w:hAnsi="Calibri"/>
                <w:color w:val="000000"/>
                <w:sz w:val="20"/>
                <w:szCs w:val="20"/>
              </w:rPr>
              <w:t xml:space="preserve"> establece el Plan Nacional de Microcuencas y de Acuíferos.</w:t>
            </w:r>
          </w:p>
        </w:tc>
      </w:tr>
      <w:tr w:rsidR="00764CA7" w14:paraId="6BE0D2C8" w14:textId="77777777" w:rsidTr="0012093E">
        <w:tc>
          <w:tcPr>
            <w:tcW w:w="1849" w:type="dxa"/>
            <w:shd w:val="clear" w:color="auto" w:fill="E7F0F9"/>
            <w:vAlign w:val="center"/>
          </w:tcPr>
          <w:p w14:paraId="40558206" w14:textId="5605C22C" w:rsidR="00764CA7" w:rsidRDefault="00764CA7" w:rsidP="00764CA7">
            <w:pPr>
              <w:spacing w:line="240" w:lineRule="auto"/>
              <w:ind w:firstLine="0"/>
              <w:jc w:val="both"/>
              <w:rPr>
                <w:noProof/>
              </w:rPr>
            </w:pPr>
            <w:r>
              <w:rPr>
                <w:rFonts w:ascii="Calibri" w:hAnsi="Calibri"/>
                <w:color w:val="000000"/>
                <w:sz w:val="20"/>
                <w:szCs w:val="20"/>
              </w:rPr>
              <w:t>Resolución 1207 de 2014 Ministerio de Ambiente y Desarrollo Sostenible</w:t>
            </w:r>
          </w:p>
        </w:tc>
        <w:tc>
          <w:tcPr>
            <w:tcW w:w="3119" w:type="dxa"/>
            <w:shd w:val="clear" w:color="auto" w:fill="E7F0F9"/>
            <w:vAlign w:val="center"/>
          </w:tcPr>
          <w:p w14:paraId="2B69F959" w14:textId="35F706B9" w:rsidR="00764CA7" w:rsidRDefault="00764CA7" w:rsidP="00764CA7">
            <w:pPr>
              <w:spacing w:line="240" w:lineRule="auto"/>
              <w:ind w:firstLine="0"/>
              <w:jc w:val="both"/>
              <w:rPr>
                <w:noProof/>
              </w:rPr>
            </w:pPr>
            <w:r>
              <w:rPr>
                <w:rFonts w:ascii="Calibri" w:hAnsi="Calibri"/>
                <w:color w:val="000000"/>
                <w:sz w:val="20"/>
                <w:szCs w:val="20"/>
              </w:rPr>
              <w:t>Por la cual se adoptan disposiciones relacionadas con el uso de aguas residuales tratadas.</w:t>
            </w:r>
          </w:p>
        </w:tc>
        <w:tc>
          <w:tcPr>
            <w:tcW w:w="4426" w:type="dxa"/>
            <w:shd w:val="clear" w:color="auto" w:fill="E7F0F9"/>
            <w:vAlign w:val="center"/>
          </w:tcPr>
          <w:p w14:paraId="1B8F84A8" w14:textId="2BCF440F" w:rsidR="00764CA7" w:rsidRDefault="00764CA7" w:rsidP="00764CA7">
            <w:pPr>
              <w:spacing w:line="240" w:lineRule="auto"/>
              <w:ind w:firstLine="0"/>
              <w:jc w:val="both"/>
              <w:rPr>
                <w:noProof/>
              </w:rPr>
            </w:pPr>
            <w:r>
              <w:rPr>
                <w:rFonts w:ascii="Calibri" w:hAnsi="Calibri"/>
                <w:color w:val="000000"/>
                <w:sz w:val="20"/>
                <w:szCs w:val="20"/>
              </w:rPr>
              <w:t>Establece las disposiciones relacionadas con el uso del agua residual tratada y no aplica para su empleo como fertilizante o acondicionador de suelos. Señala las definiciones; normas sobre vertimientos, balance de materia o masa, usos del agua residual tratada, criterios de calidad, distancias mínimas de retiro para el desarrollo de la reutilización; obras, prevención, monitoreo, seguimiento, situaciones contingentes y régimen de transición.</w:t>
            </w:r>
          </w:p>
        </w:tc>
      </w:tr>
      <w:tr w:rsidR="00764CA7" w14:paraId="60799624" w14:textId="77777777" w:rsidTr="0012093E">
        <w:tc>
          <w:tcPr>
            <w:tcW w:w="1849" w:type="dxa"/>
            <w:shd w:val="clear" w:color="auto" w:fill="E7F0F9"/>
            <w:vAlign w:val="center"/>
          </w:tcPr>
          <w:p w14:paraId="58BEFCC2" w14:textId="36F9FB4A" w:rsidR="00764CA7" w:rsidRDefault="00764CA7" w:rsidP="00764CA7">
            <w:pPr>
              <w:spacing w:line="240" w:lineRule="auto"/>
              <w:ind w:firstLine="0"/>
              <w:jc w:val="both"/>
              <w:rPr>
                <w:noProof/>
              </w:rPr>
            </w:pPr>
            <w:r>
              <w:rPr>
                <w:rFonts w:ascii="Calibri" w:hAnsi="Calibri"/>
                <w:color w:val="000000"/>
                <w:sz w:val="20"/>
                <w:szCs w:val="20"/>
              </w:rPr>
              <w:t>Decreto 475 de 2015 Nivel Nacional</w:t>
            </w:r>
          </w:p>
        </w:tc>
        <w:tc>
          <w:tcPr>
            <w:tcW w:w="3119" w:type="dxa"/>
            <w:shd w:val="clear" w:color="auto" w:fill="E7F0F9"/>
            <w:vAlign w:val="center"/>
          </w:tcPr>
          <w:p w14:paraId="31F373BF" w14:textId="2F2A2784" w:rsidR="00764CA7" w:rsidRDefault="00764CA7" w:rsidP="00764CA7">
            <w:pPr>
              <w:spacing w:line="240" w:lineRule="auto"/>
              <w:ind w:firstLine="0"/>
              <w:jc w:val="both"/>
              <w:rPr>
                <w:noProof/>
              </w:rPr>
            </w:pPr>
            <w:r>
              <w:rPr>
                <w:rFonts w:ascii="Calibri" w:hAnsi="Calibri"/>
                <w:color w:val="000000"/>
                <w:sz w:val="20"/>
                <w:szCs w:val="20"/>
              </w:rPr>
              <w:t>Por el cual se reglamenta el artículo 250 de la Ley 1450 de 2011 y se dictan otras disposiciones</w:t>
            </w:r>
          </w:p>
        </w:tc>
        <w:tc>
          <w:tcPr>
            <w:tcW w:w="4426" w:type="dxa"/>
            <w:shd w:val="clear" w:color="auto" w:fill="E7F0F9"/>
            <w:vAlign w:val="center"/>
          </w:tcPr>
          <w:p w14:paraId="63AC34FC" w14:textId="7F3AC06D" w:rsidR="00764CA7" w:rsidRDefault="00764CA7" w:rsidP="00764CA7">
            <w:pPr>
              <w:spacing w:line="240" w:lineRule="auto"/>
              <w:ind w:firstLine="0"/>
              <w:jc w:val="both"/>
              <w:rPr>
                <w:noProof/>
              </w:rPr>
            </w:pPr>
            <w:r>
              <w:rPr>
                <w:rFonts w:ascii="Calibri" w:hAnsi="Calibri"/>
                <w:color w:val="000000"/>
                <w:sz w:val="20"/>
                <w:szCs w:val="20"/>
              </w:rPr>
              <w:br/>
              <w:t xml:space="preserve"> Establece el Mecanismo Departamental para la evaluación y viabilización de proyectos del sector de agua potable y saneamiento básico a financiar con recursos que no provienen de la Nación, y se determinan los requisitos y procedimientos para la presentación, viabilización y aprobación de proyectos.</w:t>
            </w:r>
          </w:p>
        </w:tc>
      </w:tr>
      <w:tr w:rsidR="00764CA7" w14:paraId="074B733B" w14:textId="77777777" w:rsidTr="0012093E">
        <w:tc>
          <w:tcPr>
            <w:tcW w:w="1849" w:type="dxa"/>
            <w:shd w:val="clear" w:color="auto" w:fill="E7F0F9"/>
            <w:vAlign w:val="center"/>
          </w:tcPr>
          <w:p w14:paraId="187ECEBD" w14:textId="0BF50EC3" w:rsidR="00764CA7" w:rsidRDefault="00764CA7" w:rsidP="00764CA7">
            <w:pPr>
              <w:spacing w:line="240" w:lineRule="auto"/>
              <w:ind w:firstLine="0"/>
              <w:jc w:val="both"/>
              <w:rPr>
                <w:noProof/>
              </w:rPr>
            </w:pPr>
            <w:r>
              <w:rPr>
                <w:rFonts w:ascii="Calibri" w:hAnsi="Calibri"/>
                <w:color w:val="000000"/>
                <w:sz w:val="20"/>
                <w:szCs w:val="20"/>
              </w:rPr>
              <w:t>Decreto Único Reglamentario 1076 de 2015 Nivel Nacional</w:t>
            </w:r>
          </w:p>
        </w:tc>
        <w:tc>
          <w:tcPr>
            <w:tcW w:w="3119" w:type="dxa"/>
            <w:shd w:val="clear" w:color="auto" w:fill="E7F0F9"/>
            <w:vAlign w:val="center"/>
          </w:tcPr>
          <w:p w14:paraId="53CDD6BD" w14:textId="5343F760" w:rsidR="00764CA7" w:rsidRDefault="00764CA7" w:rsidP="00764CA7">
            <w:pPr>
              <w:spacing w:line="240" w:lineRule="auto"/>
              <w:ind w:firstLine="0"/>
              <w:jc w:val="both"/>
              <w:rPr>
                <w:noProof/>
              </w:rPr>
            </w:pPr>
            <w:r>
              <w:rPr>
                <w:rFonts w:ascii="Calibri" w:hAnsi="Calibri"/>
                <w:color w:val="000000"/>
                <w:sz w:val="20"/>
                <w:szCs w:val="20"/>
              </w:rPr>
              <w:t>Por medio del cual se expide el Decreto Único Reglamentario del Sector Ambiente y Desarrollo Sostenible.</w:t>
            </w:r>
          </w:p>
        </w:tc>
        <w:tc>
          <w:tcPr>
            <w:tcW w:w="4426" w:type="dxa"/>
            <w:shd w:val="clear" w:color="auto" w:fill="E7F0F9"/>
            <w:vAlign w:val="center"/>
          </w:tcPr>
          <w:p w14:paraId="1AB405B3" w14:textId="717601FA" w:rsidR="00764CA7" w:rsidRDefault="00764CA7" w:rsidP="00764CA7">
            <w:pPr>
              <w:spacing w:line="240" w:lineRule="auto"/>
              <w:ind w:firstLine="0"/>
              <w:jc w:val="both"/>
              <w:rPr>
                <w:noProof/>
              </w:rPr>
            </w:pPr>
            <w:r>
              <w:rPr>
                <w:rFonts w:ascii="Calibri" w:hAnsi="Calibri"/>
                <w:color w:val="000000"/>
                <w:sz w:val="20"/>
                <w:szCs w:val="20"/>
              </w:rPr>
              <w:t xml:space="preserve">Compila las disposiciones reglamentarias del Sector Ambiente. Reglamenta las normas relacionadas con </w:t>
            </w:r>
            <w:proofErr w:type="gramStart"/>
            <w:r>
              <w:rPr>
                <w:rFonts w:ascii="Calibri" w:hAnsi="Calibri"/>
                <w:color w:val="000000"/>
                <w:sz w:val="20"/>
                <w:szCs w:val="20"/>
              </w:rPr>
              <w:t>el recursos</w:t>
            </w:r>
            <w:proofErr w:type="gramEnd"/>
            <w:r>
              <w:rPr>
                <w:rFonts w:ascii="Calibri" w:hAnsi="Calibri"/>
                <w:color w:val="000000"/>
                <w:sz w:val="20"/>
                <w:szCs w:val="20"/>
              </w:rPr>
              <w:t xml:space="preserve"> de aguas en todos sus estados, y la preservación, manejo y uso de las aguas. (Artículos 2.2.3.2.1.1 al 2.2.3.2.1.2 y 2.2.3.3.2.1 al 2.2.3.3.2.10).</w:t>
            </w:r>
            <w:r>
              <w:rPr>
                <w:rFonts w:ascii="Calibri" w:hAnsi="Calibri"/>
                <w:color w:val="000000"/>
                <w:sz w:val="20"/>
                <w:szCs w:val="20"/>
              </w:rPr>
              <w:br/>
              <w:t xml:space="preserve"> </w:t>
            </w:r>
          </w:p>
        </w:tc>
      </w:tr>
      <w:tr w:rsidR="00764CA7" w14:paraId="1FE7EEE8" w14:textId="77777777" w:rsidTr="0012093E">
        <w:tc>
          <w:tcPr>
            <w:tcW w:w="1849" w:type="dxa"/>
            <w:shd w:val="clear" w:color="auto" w:fill="E7F0F9"/>
            <w:vAlign w:val="center"/>
          </w:tcPr>
          <w:p w14:paraId="4225CC6A" w14:textId="5736C76F" w:rsidR="00764CA7" w:rsidRDefault="00764CA7" w:rsidP="00764CA7">
            <w:pPr>
              <w:spacing w:line="240" w:lineRule="auto"/>
              <w:ind w:firstLine="0"/>
              <w:jc w:val="both"/>
              <w:rPr>
                <w:noProof/>
              </w:rPr>
            </w:pPr>
            <w:r>
              <w:rPr>
                <w:rFonts w:ascii="Calibri" w:hAnsi="Calibri"/>
                <w:color w:val="000000"/>
                <w:sz w:val="20"/>
                <w:szCs w:val="20"/>
              </w:rPr>
              <w:t xml:space="preserve">  Ley 1801 de 2016 Nivel Nacional</w:t>
            </w:r>
          </w:p>
        </w:tc>
        <w:tc>
          <w:tcPr>
            <w:tcW w:w="3119" w:type="dxa"/>
            <w:shd w:val="clear" w:color="auto" w:fill="E7F0F9"/>
            <w:vAlign w:val="center"/>
          </w:tcPr>
          <w:p w14:paraId="3F1FD0B4" w14:textId="6B8DD1A7" w:rsidR="00764CA7" w:rsidRDefault="00764CA7" w:rsidP="00764CA7">
            <w:pPr>
              <w:spacing w:line="240" w:lineRule="auto"/>
              <w:ind w:firstLine="0"/>
              <w:jc w:val="both"/>
              <w:rPr>
                <w:noProof/>
              </w:rPr>
            </w:pPr>
            <w:r>
              <w:rPr>
                <w:rFonts w:ascii="Calibri" w:hAnsi="Calibri"/>
                <w:color w:val="000000"/>
                <w:sz w:val="20"/>
                <w:szCs w:val="20"/>
              </w:rPr>
              <w:t xml:space="preserve">Por la cual se expide el Código Nacional de Seguridad y Convivencia Ciudadana. </w:t>
            </w:r>
          </w:p>
        </w:tc>
        <w:tc>
          <w:tcPr>
            <w:tcW w:w="4426" w:type="dxa"/>
            <w:shd w:val="clear" w:color="auto" w:fill="E7F0F9"/>
            <w:vAlign w:val="center"/>
          </w:tcPr>
          <w:p w14:paraId="42966D32" w14:textId="3AB0D5D3" w:rsidR="00764CA7" w:rsidRDefault="00764CA7" w:rsidP="00764CA7">
            <w:pPr>
              <w:spacing w:line="240" w:lineRule="auto"/>
              <w:ind w:firstLine="0"/>
              <w:jc w:val="both"/>
              <w:rPr>
                <w:noProof/>
              </w:rPr>
            </w:pPr>
            <w:r>
              <w:rPr>
                <w:rFonts w:ascii="Calibri" w:hAnsi="Calibri"/>
                <w:color w:val="000000"/>
                <w:sz w:val="20"/>
                <w:szCs w:val="20"/>
              </w:rPr>
              <w:t xml:space="preserve">Expide el Código Nacional de Policía y Convivencia. Establece los comportamientos contrarios a la preservación del agua, entre ellas 1) Utilizarla en actividades diferentes a la respectiva autorización ambiental. 2. Arrojar sustancias contaminantes, residuos o desechos a los cuerpos de agua. 3. Deteriorar, dañar o alterar los cuerpos de agua, zonas de ronda hídrica y zonas de manejo y preservación ambiental en cualquier forma. 4. </w:t>
            </w:r>
            <w:r>
              <w:rPr>
                <w:rFonts w:ascii="Calibri" w:hAnsi="Calibri"/>
                <w:color w:val="000000"/>
                <w:sz w:val="20"/>
                <w:szCs w:val="20"/>
              </w:rPr>
              <w:lastRenderedPageBreak/>
              <w:t>Captar agua de las fuentes hídricas sin la autorización de la autoridad ambiental. 5. Lavar bienes muebles en el espacio público, vía pública, ríos, canales y quebradas. 6. Realizar cualquier actividad en contra de la normatividad sobre conservación y preservación de humedales, y sobre cananguchales y morichales. Igualmente determina las medidas correctivas a aplicar. (Art. 100)</w:t>
            </w:r>
          </w:p>
        </w:tc>
      </w:tr>
      <w:tr w:rsidR="00764CA7" w14:paraId="6D68A166" w14:textId="77777777" w:rsidTr="0012093E">
        <w:tc>
          <w:tcPr>
            <w:tcW w:w="1849" w:type="dxa"/>
            <w:shd w:val="clear" w:color="auto" w:fill="E7F0F9"/>
            <w:vAlign w:val="center"/>
          </w:tcPr>
          <w:p w14:paraId="7DAFE92E" w14:textId="2D07D7B2" w:rsidR="00764CA7" w:rsidRDefault="00764CA7" w:rsidP="00764CA7">
            <w:pPr>
              <w:spacing w:line="240" w:lineRule="auto"/>
              <w:ind w:firstLine="0"/>
              <w:jc w:val="both"/>
              <w:rPr>
                <w:noProof/>
              </w:rPr>
            </w:pPr>
            <w:r>
              <w:rPr>
                <w:rFonts w:ascii="Calibri" w:hAnsi="Calibri"/>
                <w:color w:val="000000"/>
                <w:sz w:val="20"/>
                <w:szCs w:val="20"/>
              </w:rPr>
              <w:lastRenderedPageBreak/>
              <w:t xml:space="preserve">  Decreto 1090 de 2018 Nivel Nacional</w:t>
            </w:r>
          </w:p>
        </w:tc>
        <w:tc>
          <w:tcPr>
            <w:tcW w:w="3119" w:type="dxa"/>
            <w:shd w:val="clear" w:color="auto" w:fill="E7F0F9"/>
            <w:vAlign w:val="center"/>
          </w:tcPr>
          <w:p w14:paraId="60917DA0" w14:textId="20EA8B8D" w:rsidR="00764CA7" w:rsidRDefault="00764CA7" w:rsidP="00764CA7">
            <w:pPr>
              <w:spacing w:line="240" w:lineRule="auto"/>
              <w:ind w:firstLine="0"/>
              <w:jc w:val="both"/>
              <w:rPr>
                <w:noProof/>
              </w:rPr>
            </w:pPr>
            <w:r>
              <w:rPr>
                <w:rFonts w:ascii="Calibri" w:hAnsi="Calibri"/>
                <w:color w:val="000000"/>
                <w:sz w:val="20"/>
                <w:szCs w:val="20"/>
              </w:rPr>
              <w:t>Por el cual se adiciona el Decreto 1076 de 2015, Decreto Único Reglamentario del Sector Ambiente y Desarrollo Sostenible, en lo relacionado con el Programa para el Uso Eficiente y Ahorro de Agua y se dictan otras disposiciones.</w:t>
            </w:r>
          </w:p>
        </w:tc>
        <w:tc>
          <w:tcPr>
            <w:tcW w:w="4426" w:type="dxa"/>
            <w:shd w:val="clear" w:color="auto" w:fill="E7F0F9"/>
            <w:vAlign w:val="center"/>
          </w:tcPr>
          <w:p w14:paraId="488D3CF7" w14:textId="60F8696D" w:rsidR="00764CA7" w:rsidRDefault="00764CA7" w:rsidP="00764CA7">
            <w:pPr>
              <w:spacing w:line="240" w:lineRule="auto"/>
              <w:ind w:firstLine="0"/>
              <w:jc w:val="both"/>
              <w:rPr>
                <w:noProof/>
              </w:rPr>
            </w:pPr>
            <w:r>
              <w:rPr>
                <w:rFonts w:ascii="Calibri" w:hAnsi="Calibri"/>
                <w:color w:val="000000"/>
                <w:sz w:val="20"/>
                <w:szCs w:val="20"/>
              </w:rPr>
              <w:t xml:space="preserve">  </w:t>
            </w:r>
            <w:r>
              <w:rPr>
                <w:rFonts w:ascii="Calibri" w:hAnsi="Calibri"/>
                <w:color w:val="000000"/>
                <w:sz w:val="20"/>
                <w:szCs w:val="20"/>
              </w:rPr>
              <w:br/>
              <w:t>Reglamenta la Ley 373 de 1997 en lo relacionado con el Programa para el Uso Eficiente y Ahorro de Agua y aplica a las Autoridades Ambientales, a los usuarios que soliciten una concesión de aguas y a las entidades territoriales responsables de implementar proyectos o lineamientos dirigidos al uso eficiente y ahorro del agua.</w:t>
            </w:r>
            <w:r>
              <w:rPr>
                <w:rFonts w:ascii="Calibri" w:hAnsi="Calibri"/>
                <w:color w:val="000000"/>
                <w:sz w:val="20"/>
                <w:szCs w:val="20"/>
              </w:rPr>
              <w:br/>
              <w:t xml:space="preserve"> </w:t>
            </w:r>
          </w:p>
        </w:tc>
      </w:tr>
    </w:tbl>
    <w:p w14:paraId="3E6E4DED" w14:textId="119D7334" w:rsidR="0012093E" w:rsidRDefault="000A356D" w:rsidP="00E96915">
      <w:pPr>
        <w:pStyle w:val="Ttulo4"/>
      </w:pPr>
      <w:r w:rsidRPr="00EE6FC6">
        <w:t>1.4</w:t>
      </w:r>
      <w:r w:rsidR="008E3D8C" w:rsidRPr="00EE6FC6">
        <w:t>.2.2</w:t>
      </w:r>
      <w:r w:rsidRPr="00EE6FC6">
        <w:t xml:space="preserve"> </w:t>
      </w:r>
      <w:r w:rsidR="006E47CA" w:rsidRPr="00EE6FC6">
        <w:t>Energía</w:t>
      </w:r>
      <w:r w:rsidRPr="00EE6FC6">
        <w:t>.</w:t>
      </w:r>
    </w:p>
    <w:tbl>
      <w:tblPr>
        <w:tblStyle w:val="Tablaconcuadrcula"/>
        <w:tblpPr w:leftFromText="142" w:rightFromText="142" w:vertAnchor="text" w:horzAnchor="page" w:tblpXSpec="center" w:tblpY="1"/>
        <w:tblOverlap w:val="never"/>
        <w:tblW w:w="0" w:type="auto"/>
        <w:tblLook w:val="04A0" w:firstRow="1" w:lastRow="0" w:firstColumn="1" w:lastColumn="0" w:noHBand="0" w:noVBand="1"/>
      </w:tblPr>
      <w:tblGrid>
        <w:gridCol w:w="1409"/>
        <w:gridCol w:w="2272"/>
        <w:gridCol w:w="5386"/>
      </w:tblGrid>
      <w:tr w:rsidR="00AE434A" w14:paraId="111CA94E" w14:textId="77777777" w:rsidTr="006E47CA">
        <w:trPr>
          <w:trHeight w:val="416"/>
        </w:trPr>
        <w:tc>
          <w:tcPr>
            <w:tcW w:w="1409" w:type="dxa"/>
            <w:shd w:val="clear" w:color="auto" w:fill="8EAADB" w:themeFill="accent1" w:themeFillTint="99"/>
            <w:vAlign w:val="center"/>
          </w:tcPr>
          <w:p w14:paraId="31E8BA4A" w14:textId="77777777" w:rsidR="00AE434A" w:rsidRDefault="00AE434A" w:rsidP="006E47CA">
            <w:pPr>
              <w:pStyle w:val="Prrafodelista"/>
              <w:spacing w:after="0" w:line="240" w:lineRule="auto"/>
              <w:ind w:left="0" w:firstLine="0"/>
              <w:jc w:val="center"/>
              <w:rPr>
                <w:rFonts w:eastAsia="Arial" w:cs="Arial"/>
                <w:b/>
                <w:bCs/>
                <w:noProof/>
              </w:rPr>
            </w:pPr>
            <w:r>
              <w:rPr>
                <w:rFonts w:ascii="Calibri" w:hAnsi="Calibri"/>
                <w:b/>
                <w:bCs/>
                <w:color w:val="000000"/>
                <w:sz w:val="20"/>
                <w:szCs w:val="20"/>
              </w:rPr>
              <w:t>NORMA</w:t>
            </w:r>
          </w:p>
        </w:tc>
        <w:tc>
          <w:tcPr>
            <w:tcW w:w="2272" w:type="dxa"/>
            <w:shd w:val="clear" w:color="auto" w:fill="8EAADB" w:themeFill="accent1" w:themeFillTint="99"/>
            <w:vAlign w:val="center"/>
          </w:tcPr>
          <w:p w14:paraId="483F6473" w14:textId="21965333" w:rsidR="00AE434A" w:rsidRDefault="00AE434A" w:rsidP="006E47CA">
            <w:pPr>
              <w:pStyle w:val="Prrafodelista"/>
              <w:spacing w:after="0" w:line="240" w:lineRule="auto"/>
              <w:ind w:left="0" w:firstLine="0"/>
              <w:jc w:val="center"/>
              <w:rPr>
                <w:rFonts w:eastAsia="Arial" w:cs="Arial"/>
                <w:b/>
                <w:bCs/>
                <w:noProof/>
              </w:rPr>
            </w:pPr>
            <w:r>
              <w:rPr>
                <w:rFonts w:ascii="Calibri" w:hAnsi="Calibri"/>
                <w:b/>
                <w:bCs/>
                <w:color w:val="000000"/>
                <w:sz w:val="20"/>
                <w:szCs w:val="20"/>
              </w:rPr>
              <w:t>DISPOSICIÓN</w:t>
            </w:r>
          </w:p>
        </w:tc>
        <w:tc>
          <w:tcPr>
            <w:tcW w:w="5386" w:type="dxa"/>
            <w:shd w:val="clear" w:color="auto" w:fill="8EAADB" w:themeFill="accent1" w:themeFillTint="99"/>
            <w:vAlign w:val="center"/>
          </w:tcPr>
          <w:p w14:paraId="42FD7920" w14:textId="77777777" w:rsidR="00AE434A" w:rsidRDefault="00AE434A" w:rsidP="006E47CA">
            <w:pPr>
              <w:pStyle w:val="Prrafodelista"/>
              <w:spacing w:after="0" w:line="240" w:lineRule="auto"/>
              <w:ind w:left="0" w:firstLine="0"/>
              <w:jc w:val="center"/>
              <w:rPr>
                <w:rFonts w:eastAsia="Arial" w:cs="Arial"/>
                <w:b/>
                <w:bCs/>
                <w:noProof/>
              </w:rPr>
            </w:pPr>
            <w:r>
              <w:rPr>
                <w:rFonts w:ascii="Calibri" w:hAnsi="Calibri"/>
                <w:b/>
                <w:bCs/>
                <w:color w:val="000000"/>
                <w:sz w:val="20"/>
                <w:szCs w:val="20"/>
              </w:rPr>
              <w:t>OBSERVACIONES</w:t>
            </w:r>
          </w:p>
        </w:tc>
      </w:tr>
      <w:tr w:rsidR="00AE434A" w14:paraId="6D9ADDE9" w14:textId="77777777" w:rsidTr="006E47CA">
        <w:tc>
          <w:tcPr>
            <w:tcW w:w="1409" w:type="dxa"/>
            <w:shd w:val="clear" w:color="auto" w:fill="E7F0F9"/>
            <w:vAlign w:val="center"/>
          </w:tcPr>
          <w:p w14:paraId="1397BF4C" w14:textId="77777777" w:rsidR="00AE434A" w:rsidRDefault="00AE434A" w:rsidP="006E47CA">
            <w:pPr>
              <w:pStyle w:val="Prrafodelista"/>
              <w:spacing w:after="0" w:line="240" w:lineRule="auto"/>
              <w:ind w:left="0" w:firstLine="0"/>
              <w:jc w:val="both"/>
              <w:rPr>
                <w:rFonts w:eastAsia="Arial" w:cs="Arial"/>
                <w:b/>
                <w:bCs/>
                <w:noProof/>
              </w:rPr>
            </w:pPr>
            <w:r>
              <w:rPr>
                <w:rFonts w:ascii="Calibri" w:hAnsi="Calibri"/>
                <w:color w:val="000000"/>
                <w:sz w:val="20"/>
                <w:szCs w:val="20"/>
              </w:rPr>
              <w:t>Ley 697 de 2001</w:t>
            </w:r>
          </w:p>
        </w:tc>
        <w:tc>
          <w:tcPr>
            <w:tcW w:w="2272" w:type="dxa"/>
            <w:shd w:val="clear" w:color="auto" w:fill="E7F0F9"/>
            <w:vAlign w:val="center"/>
          </w:tcPr>
          <w:p w14:paraId="3F9295A9" w14:textId="77777777" w:rsidR="00AE434A" w:rsidRDefault="00AE434A" w:rsidP="006E47CA">
            <w:pPr>
              <w:pStyle w:val="Prrafodelista"/>
              <w:spacing w:after="0" w:line="240" w:lineRule="auto"/>
              <w:ind w:left="0" w:firstLine="0"/>
              <w:jc w:val="both"/>
              <w:rPr>
                <w:rFonts w:eastAsia="Arial" w:cs="Arial"/>
                <w:b/>
                <w:bCs/>
                <w:noProof/>
              </w:rPr>
            </w:pPr>
            <w:r>
              <w:rPr>
                <w:rFonts w:ascii="Calibri" w:hAnsi="Calibri"/>
                <w:color w:val="000000"/>
                <w:sz w:val="20"/>
                <w:szCs w:val="20"/>
              </w:rPr>
              <w:t>Mediante la cual se fomenta el uso racional y eficiente de la energía, se promueve la utilización de energías alternativas y se dictan otras disposiciones.</w:t>
            </w:r>
          </w:p>
        </w:tc>
        <w:tc>
          <w:tcPr>
            <w:tcW w:w="5386" w:type="dxa"/>
            <w:shd w:val="clear" w:color="auto" w:fill="E7F0F9"/>
            <w:vAlign w:val="center"/>
          </w:tcPr>
          <w:p w14:paraId="75844012" w14:textId="77777777" w:rsidR="00AE434A" w:rsidRDefault="00AE434A" w:rsidP="006E47CA">
            <w:pPr>
              <w:pStyle w:val="Prrafodelista"/>
              <w:spacing w:after="0" w:line="240" w:lineRule="auto"/>
              <w:ind w:left="0" w:firstLine="0"/>
              <w:jc w:val="both"/>
              <w:rPr>
                <w:rFonts w:eastAsia="Arial" w:cs="Arial"/>
                <w:b/>
                <w:bCs/>
                <w:noProof/>
              </w:rPr>
            </w:pPr>
            <w:r>
              <w:rPr>
                <w:rFonts w:ascii="Calibri" w:hAnsi="Calibri"/>
                <w:color w:val="000000"/>
                <w:sz w:val="20"/>
                <w:szCs w:val="20"/>
              </w:rPr>
              <w:t xml:space="preserve">Declara el Uso Racional y Eficiente de Energía (URE) como un asunto de interés social, público y de conveniencia nacional y establece un sistema de sanciones y estímulos de acuerdo con el programa de uso racional y eficiente de la energía y demás formas de energía no convencionales que se implementen. </w:t>
            </w:r>
          </w:p>
        </w:tc>
      </w:tr>
      <w:tr w:rsidR="00AE434A" w14:paraId="3927C754" w14:textId="77777777" w:rsidTr="006E47CA">
        <w:tc>
          <w:tcPr>
            <w:tcW w:w="1409" w:type="dxa"/>
            <w:shd w:val="clear" w:color="auto" w:fill="E7F0F9"/>
            <w:vAlign w:val="center"/>
          </w:tcPr>
          <w:p w14:paraId="694018B8" w14:textId="77777777" w:rsidR="00AE434A" w:rsidRDefault="00AE434A" w:rsidP="006E47CA">
            <w:pPr>
              <w:pStyle w:val="Prrafodelista"/>
              <w:spacing w:after="0" w:line="240" w:lineRule="auto"/>
              <w:ind w:left="0" w:firstLine="0"/>
              <w:jc w:val="both"/>
              <w:rPr>
                <w:rFonts w:eastAsia="Arial" w:cs="Arial"/>
                <w:b/>
                <w:bCs/>
                <w:noProof/>
              </w:rPr>
            </w:pPr>
            <w:r>
              <w:rPr>
                <w:rFonts w:ascii="Calibri" w:hAnsi="Calibri"/>
                <w:color w:val="000000"/>
                <w:sz w:val="20"/>
                <w:szCs w:val="20"/>
              </w:rPr>
              <w:t>Decreto 3683 de 2003</w:t>
            </w:r>
          </w:p>
        </w:tc>
        <w:tc>
          <w:tcPr>
            <w:tcW w:w="2272" w:type="dxa"/>
            <w:shd w:val="clear" w:color="auto" w:fill="E7F0F9"/>
            <w:vAlign w:val="center"/>
          </w:tcPr>
          <w:p w14:paraId="5B014C65" w14:textId="77777777" w:rsidR="00AE434A" w:rsidRDefault="00AE434A" w:rsidP="006E47CA">
            <w:pPr>
              <w:pStyle w:val="Prrafodelista"/>
              <w:spacing w:after="0" w:line="240" w:lineRule="auto"/>
              <w:ind w:left="0" w:firstLine="0"/>
              <w:jc w:val="both"/>
              <w:rPr>
                <w:rFonts w:eastAsia="Arial" w:cs="Arial"/>
                <w:b/>
                <w:bCs/>
                <w:noProof/>
              </w:rPr>
            </w:pPr>
            <w:r>
              <w:rPr>
                <w:rFonts w:ascii="Calibri" w:hAnsi="Calibri"/>
                <w:color w:val="000000"/>
                <w:sz w:val="20"/>
                <w:szCs w:val="20"/>
              </w:rPr>
              <w:t>Por la cual se reglamenta la Ley 697 de 2001 y se crea una comisión intersectorial.</w:t>
            </w:r>
          </w:p>
        </w:tc>
        <w:tc>
          <w:tcPr>
            <w:tcW w:w="5386" w:type="dxa"/>
            <w:shd w:val="clear" w:color="auto" w:fill="E7F0F9"/>
            <w:vAlign w:val="center"/>
          </w:tcPr>
          <w:p w14:paraId="5BDC9AB4" w14:textId="77777777" w:rsidR="00AE434A" w:rsidRDefault="00AE434A" w:rsidP="006E47CA">
            <w:pPr>
              <w:pStyle w:val="Prrafodelista"/>
              <w:spacing w:after="0" w:line="240" w:lineRule="auto"/>
              <w:ind w:left="0" w:firstLine="0"/>
              <w:jc w:val="both"/>
              <w:rPr>
                <w:rFonts w:eastAsia="Arial" w:cs="Arial"/>
                <w:b/>
                <w:bCs/>
                <w:noProof/>
              </w:rPr>
            </w:pPr>
            <w:r>
              <w:rPr>
                <w:rFonts w:ascii="Calibri" w:hAnsi="Calibri"/>
                <w:color w:val="000000"/>
                <w:sz w:val="20"/>
                <w:szCs w:val="20"/>
              </w:rPr>
              <w:t>Reglamenta el uso racional y eficiente de la energía conforme a lo establecido en la Ley 697 de 2001.</w:t>
            </w:r>
          </w:p>
        </w:tc>
      </w:tr>
      <w:tr w:rsidR="00AE434A" w14:paraId="509E9F32" w14:textId="77777777" w:rsidTr="006E47CA">
        <w:tc>
          <w:tcPr>
            <w:tcW w:w="1409" w:type="dxa"/>
            <w:shd w:val="clear" w:color="auto" w:fill="E7F0F9"/>
            <w:vAlign w:val="center"/>
          </w:tcPr>
          <w:p w14:paraId="4616B67C" w14:textId="77777777" w:rsidR="00AE434A" w:rsidRDefault="00AE434A" w:rsidP="006E47CA">
            <w:pPr>
              <w:pStyle w:val="Prrafodelista"/>
              <w:spacing w:after="0" w:line="240" w:lineRule="auto"/>
              <w:ind w:left="0" w:firstLine="0"/>
              <w:jc w:val="both"/>
              <w:rPr>
                <w:rFonts w:eastAsia="Arial" w:cs="Arial"/>
                <w:b/>
                <w:bCs/>
                <w:noProof/>
              </w:rPr>
            </w:pPr>
            <w:r>
              <w:rPr>
                <w:rFonts w:ascii="Calibri" w:hAnsi="Calibri"/>
                <w:color w:val="000000"/>
                <w:sz w:val="20"/>
                <w:szCs w:val="20"/>
              </w:rPr>
              <w:t>Decreto 2331 de 2007 Nivel Nacional</w:t>
            </w:r>
          </w:p>
        </w:tc>
        <w:tc>
          <w:tcPr>
            <w:tcW w:w="2272" w:type="dxa"/>
            <w:shd w:val="clear" w:color="auto" w:fill="E7F0F9"/>
            <w:vAlign w:val="center"/>
          </w:tcPr>
          <w:p w14:paraId="70638C22" w14:textId="0766F20A" w:rsidR="00AE434A" w:rsidRPr="000122CD" w:rsidRDefault="000122CD" w:rsidP="006E47CA">
            <w:pPr>
              <w:pStyle w:val="Prrafodelista"/>
              <w:spacing w:after="0" w:line="240" w:lineRule="auto"/>
              <w:ind w:left="0" w:firstLine="0"/>
              <w:jc w:val="both"/>
              <w:rPr>
                <w:rFonts w:asciiTheme="minorHAnsi" w:eastAsia="Arial" w:hAnsiTheme="minorHAnsi" w:cstheme="minorHAnsi"/>
                <w:noProof/>
                <w:sz w:val="20"/>
                <w:szCs w:val="20"/>
              </w:rPr>
            </w:pPr>
            <w:r w:rsidRPr="000122CD">
              <w:rPr>
                <w:rFonts w:asciiTheme="minorHAnsi" w:eastAsia="Arial" w:hAnsiTheme="minorHAnsi" w:cstheme="minorHAnsi"/>
                <w:noProof/>
                <w:sz w:val="20"/>
                <w:szCs w:val="20"/>
              </w:rPr>
              <w:t>Por el cual se establece una medida tendiente al uso racional y eficiente de energía eléctrica.</w:t>
            </w:r>
          </w:p>
        </w:tc>
        <w:tc>
          <w:tcPr>
            <w:tcW w:w="5386" w:type="dxa"/>
            <w:shd w:val="clear" w:color="auto" w:fill="E7F0F9"/>
            <w:vAlign w:val="center"/>
          </w:tcPr>
          <w:p w14:paraId="3603F36E" w14:textId="77777777" w:rsidR="00AE434A" w:rsidRDefault="00AE434A" w:rsidP="006E47CA">
            <w:pPr>
              <w:pStyle w:val="Prrafodelista"/>
              <w:spacing w:after="0" w:line="240" w:lineRule="auto"/>
              <w:ind w:left="0" w:firstLine="0"/>
              <w:jc w:val="both"/>
              <w:rPr>
                <w:rFonts w:eastAsia="Arial" w:cs="Arial"/>
                <w:b/>
                <w:bCs/>
                <w:noProof/>
              </w:rPr>
            </w:pPr>
            <w:r>
              <w:rPr>
                <w:rFonts w:ascii="Calibri" w:hAnsi="Calibri"/>
                <w:color w:val="000000"/>
                <w:sz w:val="20"/>
                <w:szCs w:val="20"/>
              </w:rPr>
              <w:t xml:space="preserve">Establece como medida tendiente al uso racional y eficiente de energía eléctrica, la utilización o sustitución en los edificios cuyos usuarios sean entidades oficiales de cualquier orden, de todas las bombillas incandescentes por bombillas ahorradoras específicamente Lámparas Fluorescentes Compactas (LFC) de alta eficiencia. Señala plazo para el cambio de los bombillos actuales y la obligatoriedad de la previsión del uso de </w:t>
            </w:r>
            <w:proofErr w:type="gramStart"/>
            <w:r>
              <w:rPr>
                <w:rFonts w:ascii="Calibri" w:hAnsi="Calibri"/>
                <w:color w:val="000000"/>
                <w:sz w:val="20"/>
                <w:szCs w:val="20"/>
              </w:rPr>
              <w:t>los mismos</w:t>
            </w:r>
            <w:proofErr w:type="gramEnd"/>
            <w:r>
              <w:rPr>
                <w:rFonts w:ascii="Calibri" w:hAnsi="Calibri"/>
                <w:color w:val="000000"/>
                <w:sz w:val="20"/>
                <w:szCs w:val="20"/>
              </w:rPr>
              <w:t xml:space="preserve"> en los edificios en proyecto de construcción, diseño y planeación.</w:t>
            </w:r>
          </w:p>
        </w:tc>
      </w:tr>
      <w:tr w:rsidR="00AE434A" w14:paraId="4F2698BE" w14:textId="77777777" w:rsidTr="006E47CA">
        <w:tc>
          <w:tcPr>
            <w:tcW w:w="1409" w:type="dxa"/>
            <w:shd w:val="clear" w:color="auto" w:fill="E7F0F9"/>
            <w:vAlign w:val="center"/>
          </w:tcPr>
          <w:p w14:paraId="704E3201" w14:textId="534D0F9D" w:rsidR="00AE434A" w:rsidRDefault="00AE434A" w:rsidP="006E47CA">
            <w:pPr>
              <w:pStyle w:val="Prrafodelista"/>
              <w:spacing w:after="0" w:line="240" w:lineRule="auto"/>
              <w:ind w:left="0" w:firstLine="0"/>
              <w:jc w:val="both"/>
              <w:rPr>
                <w:rFonts w:eastAsia="Arial" w:cs="Arial"/>
                <w:b/>
                <w:bCs/>
                <w:noProof/>
              </w:rPr>
            </w:pPr>
            <w:r>
              <w:rPr>
                <w:rFonts w:ascii="Calibri" w:hAnsi="Calibri"/>
                <w:color w:val="000000"/>
                <w:sz w:val="20"/>
                <w:szCs w:val="20"/>
              </w:rPr>
              <w:t>Decreto 3450 de 2008 Nivel Nacional</w:t>
            </w:r>
          </w:p>
        </w:tc>
        <w:tc>
          <w:tcPr>
            <w:tcW w:w="2272" w:type="dxa"/>
            <w:shd w:val="clear" w:color="auto" w:fill="E7F0F9"/>
            <w:vAlign w:val="center"/>
          </w:tcPr>
          <w:p w14:paraId="02E13F56" w14:textId="73D792D5" w:rsidR="00AE434A" w:rsidRPr="007317A7" w:rsidRDefault="007317A7" w:rsidP="006E47CA">
            <w:pPr>
              <w:pStyle w:val="Prrafodelista"/>
              <w:spacing w:after="0" w:line="240" w:lineRule="auto"/>
              <w:ind w:left="0" w:firstLine="0"/>
              <w:jc w:val="both"/>
              <w:rPr>
                <w:rFonts w:asciiTheme="minorHAnsi" w:eastAsia="Arial" w:hAnsiTheme="minorHAnsi" w:cstheme="minorHAnsi"/>
                <w:noProof/>
                <w:sz w:val="20"/>
                <w:szCs w:val="20"/>
              </w:rPr>
            </w:pPr>
            <w:r w:rsidRPr="007317A7">
              <w:rPr>
                <w:rFonts w:asciiTheme="minorHAnsi" w:eastAsia="Arial" w:hAnsiTheme="minorHAnsi" w:cstheme="minorHAnsi"/>
                <w:noProof/>
                <w:sz w:val="20"/>
                <w:szCs w:val="20"/>
              </w:rPr>
              <w:t>P</w:t>
            </w:r>
            <w:r w:rsidR="000122CD" w:rsidRPr="007317A7">
              <w:rPr>
                <w:rFonts w:asciiTheme="minorHAnsi" w:eastAsia="Arial" w:hAnsiTheme="minorHAnsi" w:cstheme="minorHAnsi"/>
                <w:noProof/>
                <w:sz w:val="20"/>
                <w:szCs w:val="20"/>
              </w:rPr>
              <w:t>or el cual se dictan medidas tendientes al uso racional y eficiente de la energía eléctrica.</w:t>
            </w:r>
          </w:p>
        </w:tc>
        <w:tc>
          <w:tcPr>
            <w:tcW w:w="5386" w:type="dxa"/>
            <w:shd w:val="clear" w:color="auto" w:fill="E7F0F9"/>
            <w:vAlign w:val="center"/>
          </w:tcPr>
          <w:p w14:paraId="16477A2C" w14:textId="03187A11" w:rsidR="00AE434A" w:rsidRDefault="00AE434A" w:rsidP="006E47CA">
            <w:pPr>
              <w:pStyle w:val="Prrafodelista"/>
              <w:spacing w:after="0" w:line="240" w:lineRule="auto"/>
              <w:ind w:left="0" w:firstLine="0"/>
              <w:jc w:val="both"/>
              <w:rPr>
                <w:rFonts w:eastAsia="Arial" w:cs="Arial"/>
                <w:b/>
                <w:bCs/>
                <w:noProof/>
              </w:rPr>
            </w:pPr>
            <w:r>
              <w:rPr>
                <w:rFonts w:ascii="Calibri" w:hAnsi="Calibri"/>
                <w:color w:val="000000"/>
                <w:sz w:val="20"/>
                <w:szCs w:val="20"/>
              </w:rPr>
              <w:t xml:space="preserve">Establece </w:t>
            </w:r>
            <w:proofErr w:type="gramStart"/>
            <w:r>
              <w:rPr>
                <w:rFonts w:ascii="Calibri" w:hAnsi="Calibri"/>
                <w:color w:val="000000"/>
                <w:sz w:val="20"/>
                <w:szCs w:val="20"/>
              </w:rPr>
              <w:t>que</w:t>
            </w:r>
            <w:proofErr w:type="gramEnd"/>
            <w:r>
              <w:rPr>
                <w:rFonts w:ascii="Calibri" w:hAnsi="Calibri"/>
                <w:color w:val="000000"/>
                <w:sz w:val="20"/>
                <w:szCs w:val="20"/>
              </w:rPr>
              <w:t xml:space="preserve"> en el territorio de la República de Colombia, todos los usuarios del servicio de energía eléctrica sustituirán, las fuentes de iluminación de baja eficacia lumínica, utilizando las fuentes de iluminación de mayor eficacia lumínica disponibles en el mercado. </w:t>
            </w:r>
            <w:r w:rsidR="000122CD">
              <w:rPr>
                <w:rFonts w:ascii="Calibri" w:hAnsi="Calibri"/>
                <w:color w:val="000000"/>
                <w:sz w:val="20"/>
                <w:szCs w:val="20"/>
              </w:rPr>
              <w:t>Prohíbe</w:t>
            </w:r>
            <w:r>
              <w:rPr>
                <w:rFonts w:ascii="Calibri" w:hAnsi="Calibri"/>
                <w:color w:val="000000"/>
                <w:sz w:val="20"/>
                <w:szCs w:val="20"/>
              </w:rPr>
              <w:t xml:space="preserve"> a partir del 1° de enero del año 2011, la importación, distribución, comercialización y utilización de fuentes de iluminación de baja eficacia lumínica.</w:t>
            </w:r>
          </w:p>
        </w:tc>
      </w:tr>
      <w:tr w:rsidR="00AE434A" w14:paraId="14E4840A" w14:textId="77777777" w:rsidTr="006E47CA">
        <w:tc>
          <w:tcPr>
            <w:tcW w:w="1409" w:type="dxa"/>
            <w:shd w:val="clear" w:color="auto" w:fill="E7F0F9"/>
            <w:vAlign w:val="center"/>
          </w:tcPr>
          <w:p w14:paraId="16BE88B1" w14:textId="77777777" w:rsidR="00AE434A" w:rsidRDefault="00AE434A" w:rsidP="006E47CA">
            <w:pPr>
              <w:pStyle w:val="Prrafodelista"/>
              <w:spacing w:after="0" w:line="240" w:lineRule="auto"/>
              <w:ind w:left="0" w:firstLine="0"/>
              <w:jc w:val="both"/>
              <w:rPr>
                <w:rFonts w:eastAsia="Arial" w:cs="Arial"/>
                <w:b/>
                <w:bCs/>
                <w:noProof/>
              </w:rPr>
            </w:pPr>
            <w:r>
              <w:rPr>
                <w:rFonts w:ascii="Calibri" w:hAnsi="Calibri"/>
                <w:color w:val="000000"/>
                <w:sz w:val="20"/>
                <w:szCs w:val="20"/>
              </w:rPr>
              <w:t xml:space="preserve">Acuerdo 403 de 2009 </w:t>
            </w:r>
            <w:r>
              <w:rPr>
                <w:rFonts w:ascii="Calibri" w:hAnsi="Calibri"/>
                <w:color w:val="000000"/>
                <w:sz w:val="20"/>
                <w:szCs w:val="20"/>
              </w:rPr>
              <w:lastRenderedPageBreak/>
              <w:t>Concejo de Bogotá D.C.</w:t>
            </w:r>
          </w:p>
        </w:tc>
        <w:tc>
          <w:tcPr>
            <w:tcW w:w="2272" w:type="dxa"/>
            <w:shd w:val="clear" w:color="auto" w:fill="E7F0F9"/>
            <w:vAlign w:val="center"/>
          </w:tcPr>
          <w:p w14:paraId="268EB5B6" w14:textId="321004B4" w:rsidR="00AE434A" w:rsidRPr="007317A7" w:rsidRDefault="00C83836" w:rsidP="006E47CA">
            <w:pPr>
              <w:pStyle w:val="Prrafodelista"/>
              <w:spacing w:after="0" w:line="240" w:lineRule="auto"/>
              <w:ind w:left="0" w:firstLine="0"/>
              <w:jc w:val="both"/>
              <w:rPr>
                <w:rFonts w:asciiTheme="minorHAnsi" w:eastAsia="Arial" w:hAnsiTheme="minorHAnsi" w:cstheme="minorHAnsi"/>
                <w:noProof/>
                <w:sz w:val="20"/>
                <w:szCs w:val="20"/>
              </w:rPr>
            </w:pPr>
            <w:r w:rsidRPr="00C83836">
              <w:rPr>
                <w:rFonts w:asciiTheme="minorHAnsi" w:eastAsia="Arial" w:hAnsiTheme="minorHAnsi" w:cstheme="minorHAnsi"/>
                <w:noProof/>
                <w:sz w:val="20"/>
                <w:szCs w:val="20"/>
              </w:rPr>
              <w:lastRenderedPageBreak/>
              <w:t xml:space="preserve">Por medio del cual se adopta en el Distrito </w:t>
            </w:r>
            <w:r w:rsidRPr="00C83836">
              <w:rPr>
                <w:rFonts w:asciiTheme="minorHAnsi" w:eastAsia="Arial" w:hAnsiTheme="minorHAnsi" w:cstheme="minorHAnsi"/>
                <w:noProof/>
                <w:sz w:val="20"/>
                <w:szCs w:val="20"/>
              </w:rPr>
              <w:lastRenderedPageBreak/>
              <w:t>Capital "el apagón ambiental", como una estrategia voluntaria a favor del medio ambiente y se dictan otras disposiciones.</w:t>
            </w:r>
          </w:p>
        </w:tc>
        <w:tc>
          <w:tcPr>
            <w:tcW w:w="5386" w:type="dxa"/>
            <w:shd w:val="clear" w:color="auto" w:fill="E7F0F9"/>
            <w:vAlign w:val="center"/>
          </w:tcPr>
          <w:p w14:paraId="4BDDBE90" w14:textId="77777777" w:rsidR="00AE434A" w:rsidRDefault="00AE434A" w:rsidP="006E47CA">
            <w:pPr>
              <w:pStyle w:val="Prrafodelista"/>
              <w:spacing w:after="0" w:line="240" w:lineRule="auto"/>
              <w:ind w:left="0" w:firstLine="0"/>
              <w:jc w:val="both"/>
              <w:rPr>
                <w:rFonts w:eastAsia="Arial" w:cs="Arial"/>
                <w:b/>
                <w:bCs/>
                <w:noProof/>
              </w:rPr>
            </w:pPr>
            <w:r>
              <w:rPr>
                <w:rFonts w:ascii="Calibri" w:hAnsi="Calibri"/>
                <w:color w:val="000000"/>
                <w:sz w:val="20"/>
                <w:szCs w:val="20"/>
              </w:rPr>
              <w:lastRenderedPageBreak/>
              <w:t xml:space="preserve">Adopta en el Distrito Capital "EL APAGÓN AMBIENTAL", como una estrategia voluntaria de ahorro de energía y de contribución </w:t>
            </w:r>
            <w:r>
              <w:rPr>
                <w:rFonts w:ascii="Calibri" w:hAnsi="Calibri"/>
                <w:color w:val="000000"/>
                <w:sz w:val="20"/>
                <w:szCs w:val="20"/>
              </w:rPr>
              <w:lastRenderedPageBreak/>
              <w:t xml:space="preserve">a la disminución de los nocivos efectos del calentamiento global en el planeta, consistente en mantener apagadas las luces y aparatos electrónicos por espacio de una hora, cada día 8 de cada mes, en horario de 8 a 9 de la noche. Establece la obligación de las Entidades Públicas Distritales, de mantener apagadas las luces de sus edificios y oficinas durante toda la noche, siendo responsabilidad de los Gestores Ambientales designados por las directivas en cada Entidad, velar por el cumplimiento de </w:t>
            </w:r>
            <w:proofErr w:type="gramStart"/>
            <w:r>
              <w:rPr>
                <w:rFonts w:ascii="Calibri" w:hAnsi="Calibri"/>
                <w:color w:val="000000"/>
                <w:sz w:val="20"/>
                <w:szCs w:val="20"/>
              </w:rPr>
              <w:t>ésta</w:t>
            </w:r>
            <w:proofErr w:type="gramEnd"/>
            <w:r>
              <w:rPr>
                <w:rFonts w:ascii="Calibri" w:hAnsi="Calibri"/>
                <w:color w:val="000000"/>
                <w:sz w:val="20"/>
                <w:szCs w:val="20"/>
              </w:rPr>
              <w:t xml:space="preserve"> disposición. Exceptúa de la medida las entidades que presten servicio de salud, seguridad y emergencia.</w:t>
            </w:r>
            <w:r>
              <w:rPr>
                <w:rFonts w:ascii="Calibri" w:hAnsi="Calibri"/>
                <w:color w:val="000000"/>
                <w:sz w:val="20"/>
                <w:szCs w:val="20"/>
              </w:rPr>
              <w:br/>
              <w:t xml:space="preserve"> </w:t>
            </w:r>
          </w:p>
        </w:tc>
      </w:tr>
      <w:tr w:rsidR="00AE434A" w14:paraId="57252DC3" w14:textId="77777777" w:rsidTr="006E47CA">
        <w:tc>
          <w:tcPr>
            <w:tcW w:w="1409" w:type="dxa"/>
            <w:shd w:val="clear" w:color="auto" w:fill="E7F0F9"/>
            <w:vAlign w:val="center"/>
          </w:tcPr>
          <w:p w14:paraId="1DAA326D" w14:textId="77777777" w:rsidR="00AE434A" w:rsidRDefault="00AE434A" w:rsidP="006E47CA">
            <w:pPr>
              <w:pStyle w:val="Prrafodelista"/>
              <w:spacing w:after="0" w:line="240" w:lineRule="auto"/>
              <w:ind w:left="0" w:firstLine="0"/>
              <w:jc w:val="both"/>
              <w:rPr>
                <w:rFonts w:eastAsia="Arial" w:cs="Arial"/>
                <w:b/>
                <w:bCs/>
                <w:noProof/>
              </w:rPr>
            </w:pPr>
            <w:r>
              <w:rPr>
                <w:rFonts w:ascii="Calibri" w:hAnsi="Calibri"/>
                <w:color w:val="000000"/>
                <w:sz w:val="20"/>
                <w:szCs w:val="20"/>
              </w:rPr>
              <w:lastRenderedPageBreak/>
              <w:t>Ley 1715 de 2014 Nivel Nacional</w:t>
            </w:r>
          </w:p>
        </w:tc>
        <w:tc>
          <w:tcPr>
            <w:tcW w:w="2272" w:type="dxa"/>
            <w:shd w:val="clear" w:color="auto" w:fill="E7F0F9"/>
            <w:vAlign w:val="center"/>
          </w:tcPr>
          <w:p w14:paraId="255D3B51" w14:textId="46058E02" w:rsidR="00AE434A" w:rsidRPr="007317A7" w:rsidRDefault="007317A7" w:rsidP="006E47CA">
            <w:pPr>
              <w:pStyle w:val="Prrafodelista"/>
              <w:spacing w:after="0" w:line="240" w:lineRule="auto"/>
              <w:ind w:left="0" w:firstLine="0"/>
              <w:jc w:val="both"/>
              <w:rPr>
                <w:rFonts w:asciiTheme="minorHAnsi" w:eastAsia="Arial" w:hAnsiTheme="minorHAnsi" w:cstheme="minorHAnsi"/>
                <w:noProof/>
                <w:sz w:val="20"/>
                <w:szCs w:val="20"/>
              </w:rPr>
            </w:pPr>
            <w:r w:rsidRPr="007317A7">
              <w:rPr>
                <w:rFonts w:asciiTheme="minorHAnsi" w:eastAsia="Arial" w:hAnsiTheme="minorHAnsi" w:cstheme="minorHAnsi"/>
                <w:noProof/>
                <w:sz w:val="20"/>
                <w:szCs w:val="20"/>
              </w:rPr>
              <w:t>Por medio de la cual se regula la integración de las energías renovables no convencionales al Sistema Energético Nacional</w:t>
            </w:r>
          </w:p>
        </w:tc>
        <w:tc>
          <w:tcPr>
            <w:tcW w:w="5386" w:type="dxa"/>
            <w:shd w:val="clear" w:color="auto" w:fill="E7F0F9"/>
            <w:vAlign w:val="center"/>
          </w:tcPr>
          <w:p w14:paraId="04B9635A" w14:textId="3970440D" w:rsidR="00AE434A" w:rsidRDefault="000122CD" w:rsidP="006E47CA">
            <w:pPr>
              <w:pStyle w:val="Prrafodelista"/>
              <w:spacing w:after="0" w:line="240" w:lineRule="auto"/>
              <w:ind w:left="0" w:firstLine="0"/>
              <w:jc w:val="both"/>
              <w:rPr>
                <w:rFonts w:eastAsia="Arial" w:cs="Arial"/>
                <w:b/>
                <w:bCs/>
                <w:noProof/>
              </w:rPr>
            </w:pPr>
            <w:r>
              <w:rPr>
                <w:rFonts w:ascii="Calibri" w:hAnsi="Calibri"/>
                <w:color w:val="000000"/>
                <w:sz w:val="20"/>
                <w:szCs w:val="20"/>
              </w:rPr>
              <w:t>L</w:t>
            </w:r>
            <w:r w:rsidR="00AE434A">
              <w:rPr>
                <w:rFonts w:ascii="Calibri" w:hAnsi="Calibri"/>
                <w:color w:val="000000"/>
                <w:sz w:val="20"/>
                <w:szCs w:val="20"/>
              </w:rPr>
              <w:t>a presente ley tiene por objeto promover el desarrollo y la utilización de las fuentes no convencionales de energía, principalmente aquellas de carácter renovable, en el sistema energético nacional, mediante su integración al mercado eléctrico, su participación en las zonas no interconectadas y en otros usos energéticos como medio necesario para el desarrollo económico sostenible, la reducción de emisiones de gases de efecto invernadero y la seguridad del abastecimiento energético. Con los mismos propósitos se busca promover la gestión eficiente de la energía, que comprende tanto la eficiencia energética como la respuesta de la demanda</w:t>
            </w:r>
          </w:p>
        </w:tc>
      </w:tr>
      <w:tr w:rsidR="00AE434A" w14:paraId="1B360618" w14:textId="77777777" w:rsidTr="006E47CA">
        <w:tc>
          <w:tcPr>
            <w:tcW w:w="1409" w:type="dxa"/>
            <w:shd w:val="clear" w:color="auto" w:fill="E7F0F9"/>
            <w:vAlign w:val="center"/>
          </w:tcPr>
          <w:p w14:paraId="48598946" w14:textId="77777777" w:rsidR="00AE434A" w:rsidRDefault="00AE434A" w:rsidP="006E47CA">
            <w:pPr>
              <w:pStyle w:val="Prrafodelista"/>
              <w:spacing w:after="0" w:line="240" w:lineRule="auto"/>
              <w:ind w:left="0" w:firstLine="0"/>
              <w:jc w:val="both"/>
              <w:rPr>
                <w:rFonts w:eastAsia="Arial" w:cs="Arial"/>
                <w:b/>
                <w:bCs/>
                <w:noProof/>
              </w:rPr>
            </w:pPr>
            <w:r>
              <w:rPr>
                <w:rFonts w:ascii="Calibri" w:hAnsi="Calibri"/>
                <w:color w:val="000000"/>
                <w:sz w:val="20"/>
                <w:szCs w:val="20"/>
              </w:rPr>
              <w:t>Decreto Único Reglamentario 1073 de 2015 Nivel Nacional</w:t>
            </w:r>
          </w:p>
        </w:tc>
        <w:tc>
          <w:tcPr>
            <w:tcW w:w="2272" w:type="dxa"/>
            <w:shd w:val="clear" w:color="auto" w:fill="E7F0F9"/>
            <w:vAlign w:val="center"/>
          </w:tcPr>
          <w:p w14:paraId="2DF430CD" w14:textId="5E56E9B5" w:rsidR="00AE434A" w:rsidRPr="007317A7" w:rsidRDefault="007317A7" w:rsidP="006E47CA">
            <w:pPr>
              <w:pStyle w:val="Prrafodelista"/>
              <w:spacing w:after="0" w:line="240" w:lineRule="auto"/>
              <w:ind w:left="0" w:firstLine="0"/>
              <w:jc w:val="both"/>
              <w:rPr>
                <w:rFonts w:asciiTheme="minorHAnsi" w:eastAsia="Arial" w:hAnsiTheme="minorHAnsi" w:cstheme="minorHAnsi"/>
                <w:noProof/>
                <w:sz w:val="20"/>
                <w:szCs w:val="20"/>
              </w:rPr>
            </w:pPr>
            <w:r w:rsidRPr="007317A7">
              <w:rPr>
                <w:rFonts w:asciiTheme="minorHAnsi" w:eastAsia="Arial" w:hAnsiTheme="minorHAnsi" w:cstheme="minorHAnsi"/>
                <w:noProof/>
                <w:sz w:val="20"/>
                <w:szCs w:val="20"/>
              </w:rPr>
              <w:t>Por la cual medio del cual se expide el Decreto Único Reglamentario del Sector Administrativo de Minas y Energía</w:t>
            </w:r>
          </w:p>
        </w:tc>
        <w:tc>
          <w:tcPr>
            <w:tcW w:w="5386" w:type="dxa"/>
            <w:shd w:val="clear" w:color="auto" w:fill="E7F0F9"/>
            <w:vAlign w:val="center"/>
          </w:tcPr>
          <w:p w14:paraId="0C00F14E" w14:textId="55C00A34" w:rsidR="007317A7" w:rsidRPr="007317A7" w:rsidRDefault="00AE434A" w:rsidP="006E47CA">
            <w:pPr>
              <w:pStyle w:val="Prrafodelista"/>
              <w:spacing w:after="0" w:line="240" w:lineRule="auto"/>
              <w:ind w:left="0" w:firstLine="0"/>
              <w:jc w:val="both"/>
              <w:rPr>
                <w:rFonts w:ascii="Calibri" w:hAnsi="Calibri"/>
                <w:color w:val="000000"/>
                <w:sz w:val="20"/>
                <w:szCs w:val="20"/>
              </w:rPr>
            </w:pPr>
            <w:r>
              <w:rPr>
                <w:rFonts w:ascii="Calibri" w:hAnsi="Calibri"/>
                <w:color w:val="000000"/>
                <w:sz w:val="20"/>
                <w:szCs w:val="20"/>
              </w:rPr>
              <w:t xml:space="preserve">Se reglamenta el uso racional y eficiente de la energía, de tal manera que se tenga la mayor eficiencia energética para asegurar el abastecimiento energético pleno y oportuno, la competitividad del mercado energético colombiano, la protección al consumidor y la promoción de fuentes no convencionales de energía, dentro del marco del desarrollo sostenible y respetando la normatividad vigente sobre medio ambiente y los recursos naturales renovables. El presente decreto se aplica a toda la cadena de energéticos convencionales y no convencionales del territorio nacional. (Artículo 2.2.3.6.2.1 y 2.2.3.6.2.2). Se crea la Comisión intersectorial para el Uso Racional y Eficiente de la Energía y Fuentes No Convencionales de Energía, CIURE, con el fin de asesorar y apoyar al Ministerio de Minas y Energía en la coordinación de políticas sobre uso racional y eficiente de la energía y demás formas de energía no convencionales en el sistema interconectado nacional y en las zonas no interconectadas. </w:t>
            </w:r>
          </w:p>
        </w:tc>
      </w:tr>
      <w:tr w:rsidR="007317A7" w14:paraId="2D66F30B" w14:textId="77777777" w:rsidTr="006E47CA">
        <w:tc>
          <w:tcPr>
            <w:tcW w:w="1409" w:type="dxa"/>
            <w:shd w:val="clear" w:color="auto" w:fill="E7F0F9"/>
            <w:vAlign w:val="center"/>
          </w:tcPr>
          <w:p w14:paraId="19FB4D96" w14:textId="6A1E5A60" w:rsidR="007317A7" w:rsidRDefault="007317A7" w:rsidP="006E47CA">
            <w:pPr>
              <w:pStyle w:val="Prrafodelista"/>
              <w:spacing w:after="0" w:line="240" w:lineRule="auto"/>
              <w:ind w:left="0" w:firstLine="0"/>
              <w:jc w:val="both"/>
              <w:rPr>
                <w:rFonts w:ascii="Calibri" w:hAnsi="Calibri"/>
                <w:color w:val="000000"/>
                <w:sz w:val="20"/>
                <w:szCs w:val="20"/>
              </w:rPr>
            </w:pPr>
            <w:r>
              <w:rPr>
                <w:rFonts w:ascii="Calibri" w:hAnsi="Calibri"/>
                <w:color w:val="000000"/>
                <w:sz w:val="20"/>
                <w:szCs w:val="20"/>
              </w:rPr>
              <w:t>Decreto 388 de 2016 Nivel Nacional</w:t>
            </w:r>
          </w:p>
        </w:tc>
        <w:tc>
          <w:tcPr>
            <w:tcW w:w="2272" w:type="dxa"/>
            <w:shd w:val="clear" w:color="auto" w:fill="E7F0F9"/>
            <w:vAlign w:val="center"/>
          </w:tcPr>
          <w:p w14:paraId="58DC3EA5" w14:textId="26F69773" w:rsidR="007317A7" w:rsidRPr="007317A7" w:rsidRDefault="007317A7" w:rsidP="006E47CA">
            <w:pPr>
              <w:pStyle w:val="Prrafodelista"/>
              <w:spacing w:after="0" w:line="240" w:lineRule="auto"/>
              <w:ind w:left="0" w:firstLine="0"/>
              <w:jc w:val="both"/>
              <w:rPr>
                <w:rFonts w:asciiTheme="minorHAnsi" w:eastAsia="Arial" w:hAnsiTheme="minorHAnsi" w:cstheme="minorHAnsi"/>
                <w:noProof/>
                <w:sz w:val="20"/>
                <w:szCs w:val="20"/>
              </w:rPr>
            </w:pPr>
            <w:r w:rsidRPr="007317A7">
              <w:rPr>
                <w:rFonts w:asciiTheme="minorHAnsi" w:eastAsia="Arial" w:hAnsiTheme="minorHAnsi" w:cstheme="minorHAnsi"/>
                <w:noProof/>
                <w:sz w:val="20"/>
                <w:szCs w:val="20"/>
              </w:rPr>
              <w:t>Por el cual se adiciona el decreto único reglamentario del Sector Administrativo de Minas y Energía, 1073 de 2015, con el fin de adoptar medidas tendientes a garantizar la prestación eficiente del servicio público domiciliario de energía eléctrica en circunstancias extraordinarias</w:t>
            </w:r>
          </w:p>
        </w:tc>
        <w:tc>
          <w:tcPr>
            <w:tcW w:w="5386" w:type="dxa"/>
            <w:shd w:val="clear" w:color="auto" w:fill="E7F0F9"/>
            <w:vAlign w:val="center"/>
          </w:tcPr>
          <w:p w14:paraId="145C20E7" w14:textId="297DFAEE" w:rsidR="007317A7" w:rsidRDefault="007317A7" w:rsidP="006E47CA">
            <w:pPr>
              <w:pStyle w:val="Prrafodelista"/>
              <w:spacing w:after="0" w:line="240" w:lineRule="auto"/>
              <w:ind w:left="0" w:firstLine="0"/>
              <w:jc w:val="both"/>
              <w:rPr>
                <w:rFonts w:ascii="Calibri" w:hAnsi="Calibri"/>
                <w:color w:val="000000"/>
                <w:sz w:val="20"/>
                <w:szCs w:val="20"/>
              </w:rPr>
            </w:pPr>
            <w:r>
              <w:rPr>
                <w:rFonts w:ascii="Calibri" w:hAnsi="Calibri"/>
                <w:color w:val="000000"/>
                <w:sz w:val="20"/>
                <w:szCs w:val="20"/>
              </w:rPr>
              <w:t>Adiciona un inciso 2 al artículo 2.2.3.2.1.4 del Decreto Nacional 1073 de 2015, Único Reglamentario del Sector de Minas y Energía, señalando que la CREG podrá ajustar las fórmulas tarifarias para establecer un esquema diferencial que promueva el ahorro en el consumo de energía por parte de los usuarios. ante la presencia de circunstancias extraordinarias que afecten o amenacen afectar la prestación del servicio público domiciliario de energía eléctrica y sus actividades complementarias, adoptará las medidas necesarias para garantizar la continuidad y confiabilidad en la prestación del servicio público domiciliario de energía eléctrica y sus actividades complementarias.</w:t>
            </w:r>
          </w:p>
        </w:tc>
      </w:tr>
    </w:tbl>
    <w:p w14:paraId="30725425" w14:textId="2643ADF4" w:rsidR="008C1282" w:rsidRDefault="00F56BE0" w:rsidP="00E96915">
      <w:pPr>
        <w:pStyle w:val="Ttulo4"/>
      </w:pPr>
      <w:r>
        <w:lastRenderedPageBreak/>
        <w:t>1</w:t>
      </w:r>
      <w:r w:rsidR="00225020" w:rsidRPr="00066F0C">
        <w:t>.4.2.3 Residuos sólidos</w:t>
      </w:r>
      <w:r w:rsidR="00225020">
        <w:t>.</w:t>
      </w:r>
    </w:p>
    <w:tbl>
      <w:tblPr>
        <w:tblStyle w:val="Tablaconcuadrcula"/>
        <w:tblW w:w="9252" w:type="dxa"/>
        <w:tblInd w:w="142" w:type="dxa"/>
        <w:tblLook w:val="04A0" w:firstRow="1" w:lastRow="0" w:firstColumn="1" w:lastColumn="0" w:noHBand="0" w:noVBand="1"/>
      </w:tblPr>
      <w:tblGrid>
        <w:gridCol w:w="1271"/>
        <w:gridCol w:w="2693"/>
        <w:gridCol w:w="5288"/>
      </w:tblGrid>
      <w:tr w:rsidR="00075367" w:rsidRPr="00884A66" w14:paraId="553C6DA1" w14:textId="77777777" w:rsidTr="00251353">
        <w:trPr>
          <w:trHeight w:val="540"/>
        </w:trPr>
        <w:tc>
          <w:tcPr>
            <w:tcW w:w="1271" w:type="dxa"/>
            <w:shd w:val="clear" w:color="auto" w:fill="8EAADB" w:themeFill="accent1" w:themeFillTint="99"/>
            <w:vAlign w:val="center"/>
            <w:hideMark/>
          </w:tcPr>
          <w:p w14:paraId="31336D97" w14:textId="77777777" w:rsidR="00884A66" w:rsidRPr="00884A66" w:rsidRDefault="00884A66" w:rsidP="000C60C8">
            <w:pPr>
              <w:spacing w:after="0" w:line="240" w:lineRule="auto"/>
              <w:ind w:firstLine="0"/>
              <w:jc w:val="center"/>
              <w:rPr>
                <w:rFonts w:ascii="Calibri" w:eastAsia="Times New Roman" w:hAnsi="Calibri"/>
                <w:b/>
                <w:bCs/>
                <w:color w:val="000000"/>
                <w:sz w:val="18"/>
                <w:szCs w:val="18"/>
                <w:lang w:val="es-419"/>
              </w:rPr>
            </w:pPr>
            <w:r w:rsidRPr="00884A66">
              <w:rPr>
                <w:rFonts w:ascii="Calibri" w:eastAsia="Times New Roman" w:hAnsi="Calibri"/>
                <w:b/>
                <w:bCs/>
                <w:color w:val="000000"/>
                <w:sz w:val="18"/>
                <w:szCs w:val="18"/>
                <w:lang w:val="es-419"/>
              </w:rPr>
              <w:t>NORMA</w:t>
            </w:r>
          </w:p>
        </w:tc>
        <w:tc>
          <w:tcPr>
            <w:tcW w:w="2693" w:type="dxa"/>
            <w:shd w:val="clear" w:color="auto" w:fill="8EAADB" w:themeFill="accent1" w:themeFillTint="99"/>
            <w:vAlign w:val="center"/>
            <w:hideMark/>
          </w:tcPr>
          <w:p w14:paraId="1D0013B2" w14:textId="63E35BE1" w:rsidR="00884A66" w:rsidRPr="00884A66" w:rsidRDefault="00884A66" w:rsidP="000C60C8">
            <w:pPr>
              <w:spacing w:after="0" w:line="240" w:lineRule="auto"/>
              <w:ind w:firstLine="0"/>
              <w:jc w:val="center"/>
              <w:rPr>
                <w:rFonts w:ascii="Calibri" w:eastAsia="Times New Roman" w:hAnsi="Calibri"/>
                <w:b/>
                <w:bCs/>
                <w:color w:val="000000"/>
                <w:sz w:val="18"/>
                <w:szCs w:val="18"/>
                <w:lang w:val="es-419"/>
              </w:rPr>
            </w:pPr>
            <w:r w:rsidRPr="00884A66">
              <w:rPr>
                <w:rFonts w:ascii="Calibri" w:eastAsia="Times New Roman" w:hAnsi="Calibri"/>
                <w:b/>
                <w:bCs/>
                <w:color w:val="000000"/>
                <w:sz w:val="18"/>
                <w:szCs w:val="18"/>
                <w:lang w:val="es-419"/>
              </w:rPr>
              <w:t>DISPOSICIÓN</w:t>
            </w:r>
          </w:p>
        </w:tc>
        <w:tc>
          <w:tcPr>
            <w:tcW w:w="5288" w:type="dxa"/>
            <w:shd w:val="clear" w:color="auto" w:fill="8EAADB" w:themeFill="accent1" w:themeFillTint="99"/>
            <w:vAlign w:val="center"/>
            <w:hideMark/>
          </w:tcPr>
          <w:p w14:paraId="27006556" w14:textId="77777777" w:rsidR="00884A66" w:rsidRPr="00884A66" w:rsidRDefault="00884A66" w:rsidP="000C60C8">
            <w:pPr>
              <w:spacing w:after="0" w:line="240" w:lineRule="auto"/>
              <w:ind w:firstLine="0"/>
              <w:jc w:val="center"/>
              <w:rPr>
                <w:rFonts w:ascii="Calibri" w:eastAsia="Times New Roman" w:hAnsi="Calibri"/>
                <w:b/>
                <w:bCs/>
                <w:color w:val="000000"/>
                <w:sz w:val="18"/>
                <w:szCs w:val="18"/>
                <w:lang w:val="es-419"/>
              </w:rPr>
            </w:pPr>
            <w:r w:rsidRPr="00884A66">
              <w:rPr>
                <w:rFonts w:ascii="Calibri" w:eastAsia="Times New Roman" w:hAnsi="Calibri"/>
                <w:b/>
                <w:bCs/>
                <w:color w:val="000000"/>
                <w:sz w:val="18"/>
                <w:szCs w:val="18"/>
                <w:lang w:val="es-419"/>
              </w:rPr>
              <w:t>OBSERVACIONES</w:t>
            </w:r>
          </w:p>
        </w:tc>
      </w:tr>
      <w:tr w:rsidR="00884A66" w:rsidRPr="000C60C8" w14:paraId="54E6BD47" w14:textId="77777777" w:rsidTr="00251353">
        <w:tc>
          <w:tcPr>
            <w:tcW w:w="1271" w:type="dxa"/>
            <w:shd w:val="clear" w:color="auto" w:fill="EFF5FB"/>
            <w:vAlign w:val="center"/>
          </w:tcPr>
          <w:p w14:paraId="330A56B0" w14:textId="2977AB9C" w:rsidR="00884A66" w:rsidRPr="000C60C8" w:rsidRDefault="00884A66" w:rsidP="00884A66">
            <w:pPr>
              <w:pStyle w:val="Prrafodelista"/>
              <w:spacing w:after="0" w:line="240" w:lineRule="auto"/>
              <w:ind w:left="0" w:firstLine="0"/>
              <w:jc w:val="both"/>
              <w:rPr>
                <w:rFonts w:eastAsia="Arial" w:cs="Arial"/>
                <w:sz w:val="16"/>
                <w:szCs w:val="16"/>
                <w:lang w:val="es-419"/>
              </w:rPr>
            </w:pPr>
            <w:r w:rsidRPr="000C60C8">
              <w:rPr>
                <w:rFonts w:ascii="Calibri" w:hAnsi="Calibri"/>
                <w:color w:val="000000"/>
                <w:sz w:val="16"/>
                <w:szCs w:val="16"/>
              </w:rPr>
              <w:t xml:space="preserve">Decreto Ley </w:t>
            </w:r>
            <w:proofErr w:type="gramStart"/>
            <w:r w:rsidRPr="000C60C8">
              <w:rPr>
                <w:rFonts w:ascii="Calibri" w:hAnsi="Calibri"/>
                <w:color w:val="000000"/>
                <w:sz w:val="16"/>
                <w:szCs w:val="16"/>
              </w:rPr>
              <w:t>2811  de</w:t>
            </w:r>
            <w:proofErr w:type="gramEnd"/>
            <w:r w:rsidRPr="000C60C8">
              <w:rPr>
                <w:rFonts w:ascii="Calibri" w:hAnsi="Calibri"/>
                <w:color w:val="000000"/>
                <w:sz w:val="16"/>
                <w:szCs w:val="16"/>
              </w:rPr>
              <w:t xml:space="preserve"> 1074</w:t>
            </w:r>
          </w:p>
        </w:tc>
        <w:tc>
          <w:tcPr>
            <w:tcW w:w="2693" w:type="dxa"/>
            <w:shd w:val="clear" w:color="auto" w:fill="EFF5FB"/>
            <w:vAlign w:val="center"/>
          </w:tcPr>
          <w:p w14:paraId="2EAC7E85" w14:textId="6EFF552A" w:rsidR="00884A66" w:rsidRPr="000C60C8" w:rsidRDefault="00884A66" w:rsidP="00884A66">
            <w:pPr>
              <w:pStyle w:val="Prrafodelista"/>
              <w:spacing w:after="0" w:line="240" w:lineRule="auto"/>
              <w:ind w:left="0" w:firstLine="0"/>
              <w:jc w:val="both"/>
              <w:rPr>
                <w:rFonts w:eastAsia="Arial" w:cs="Arial"/>
                <w:sz w:val="16"/>
                <w:szCs w:val="16"/>
                <w:lang w:val="es-419"/>
              </w:rPr>
            </w:pPr>
            <w:r w:rsidRPr="000C60C8">
              <w:rPr>
                <w:rFonts w:ascii="Calibri" w:hAnsi="Calibri"/>
                <w:color w:val="000000"/>
                <w:sz w:val="16"/>
                <w:szCs w:val="16"/>
              </w:rPr>
              <w:t>Por lo cual se dicta el Código Nacional de Recursos Naturales Renovables y de Protección al Medio Ambiente.</w:t>
            </w:r>
          </w:p>
        </w:tc>
        <w:tc>
          <w:tcPr>
            <w:tcW w:w="5288" w:type="dxa"/>
            <w:shd w:val="clear" w:color="auto" w:fill="EFF5FB"/>
            <w:vAlign w:val="center"/>
          </w:tcPr>
          <w:p w14:paraId="2A7E9354" w14:textId="54730FC3" w:rsidR="00884A66" w:rsidRPr="000C60C8" w:rsidRDefault="00884A66" w:rsidP="00884A66">
            <w:pPr>
              <w:pStyle w:val="Prrafodelista"/>
              <w:spacing w:after="0" w:line="240" w:lineRule="auto"/>
              <w:ind w:left="0" w:firstLine="0"/>
              <w:jc w:val="both"/>
              <w:rPr>
                <w:rFonts w:eastAsia="Arial" w:cs="Arial"/>
                <w:sz w:val="16"/>
                <w:szCs w:val="16"/>
                <w:lang w:val="es-419"/>
              </w:rPr>
            </w:pPr>
            <w:r w:rsidRPr="000C60C8">
              <w:rPr>
                <w:rFonts w:ascii="Calibri" w:hAnsi="Calibri"/>
                <w:color w:val="000000"/>
                <w:sz w:val="16"/>
                <w:szCs w:val="16"/>
              </w:rPr>
              <w:t xml:space="preserve">Se establece el manejo de los residuos, basuras, desechos y desperdicios. </w:t>
            </w:r>
            <w:proofErr w:type="gramStart"/>
            <w:r w:rsidRPr="000C60C8">
              <w:rPr>
                <w:rFonts w:ascii="Calibri" w:hAnsi="Calibri"/>
                <w:color w:val="000000"/>
                <w:sz w:val="16"/>
                <w:szCs w:val="16"/>
              </w:rPr>
              <w:t>Además</w:t>
            </w:r>
            <w:proofErr w:type="gramEnd"/>
            <w:r w:rsidRPr="000C60C8">
              <w:rPr>
                <w:rFonts w:ascii="Calibri" w:hAnsi="Calibri"/>
                <w:color w:val="000000"/>
                <w:sz w:val="16"/>
                <w:szCs w:val="16"/>
              </w:rPr>
              <w:t xml:space="preserve"> se establece que su manejo evite el deterioro del ambiente y de la Salud Humana.</w:t>
            </w:r>
          </w:p>
        </w:tc>
      </w:tr>
      <w:tr w:rsidR="00884A66" w:rsidRPr="000C60C8" w14:paraId="6FAAF894" w14:textId="77777777" w:rsidTr="00251353">
        <w:tc>
          <w:tcPr>
            <w:tcW w:w="1271" w:type="dxa"/>
            <w:shd w:val="clear" w:color="auto" w:fill="EFF5FB"/>
            <w:vAlign w:val="center"/>
          </w:tcPr>
          <w:p w14:paraId="32F83CBD" w14:textId="5D308E12" w:rsidR="00884A66" w:rsidRPr="000C60C8" w:rsidRDefault="00884A66" w:rsidP="00884A66">
            <w:pPr>
              <w:pStyle w:val="Prrafodelista"/>
              <w:spacing w:after="0" w:line="240" w:lineRule="auto"/>
              <w:ind w:left="0" w:firstLine="0"/>
              <w:jc w:val="both"/>
              <w:rPr>
                <w:rFonts w:eastAsia="Arial" w:cs="Arial"/>
                <w:sz w:val="16"/>
                <w:szCs w:val="16"/>
                <w:lang w:val="es-419"/>
              </w:rPr>
            </w:pPr>
            <w:r w:rsidRPr="000C60C8">
              <w:rPr>
                <w:rFonts w:ascii="Calibri" w:hAnsi="Calibri"/>
                <w:color w:val="000000"/>
                <w:sz w:val="16"/>
                <w:szCs w:val="16"/>
              </w:rPr>
              <w:t>Ley 9 de 1979</w:t>
            </w:r>
          </w:p>
        </w:tc>
        <w:tc>
          <w:tcPr>
            <w:tcW w:w="2693" w:type="dxa"/>
            <w:shd w:val="clear" w:color="auto" w:fill="EFF5FB"/>
            <w:vAlign w:val="center"/>
          </w:tcPr>
          <w:p w14:paraId="783EE05F" w14:textId="2AC72766" w:rsidR="00884A66" w:rsidRPr="000C60C8" w:rsidRDefault="00884A66" w:rsidP="00884A66">
            <w:pPr>
              <w:pStyle w:val="Prrafodelista"/>
              <w:spacing w:after="0" w:line="240" w:lineRule="auto"/>
              <w:ind w:left="0" w:firstLine="0"/>
              <w:jc w:val="both"/>
              <w:rPr>
                <w:rFonts w:eastAsia="Arial" w:cs="Arial"/>
                <w:sz w:val="16"/>
                <w:szCs w:val="16"/>
                <w:lang w:val="es-419"/>
              </w:rPr>
            </w:pPr>
            <w:r w:rsidRPr="000C60C8">
              <w:rPr>
                <w:rFonts w:ascii="Calibri" w:hAnsi="Calibri"/>
                <w:color w:val="000000"/>
                <w:sz w:val="16"/>
                <w:szCs w:val="16"/>
              </w:rPr>
              <w:t>Por el cual se dictan medidas sanitarias: Código Sanitario Nacional.</w:t>
            </w:r>
          </w:p>
        </w:tc>
        <w:tc>
          <w:tcPr>
            <w:tcW w:w="5288" w:type="dxa"/>
            <w:shd w:val="clear" w:color="auto" w:fill="EFF5FB"/>
            <w:vAlign w:val="center"/>
          </w:tcPr>
          <w:p w14:paraId="1F3281D1" w14:textId="353F4C3F" w:rsidR="00884A66" w:rsidRPr="000C60C8" w:rsidRDefault="00884A66" w:rsidP="00884A66">
            <w:pPr>
              <w:pStyle w:val="Prrafodelista"/>
              <w:spacing w:after="0" w:line="240" w:lineRule="auto"/>
              <w:ind w:left="0" w:firstLine="0"/>
              <w:jc w:val="both"/>
              <w:rPr>
                <w:rFonts w:eastAsia="Arial" w:cs="Arial"/>
                <w:sz w:val="16"/>
                <w:szCs w:val="16"/>
                <w:lang w:val="es-419"/>
              </w:rPr>
            </w:pPr>
            <w:r w:rsidRPr="000C60C8">
              <w:rPr>
                <w:rFonts w:ascii="Calibri" w:hAnsi="Calibri"/>
                <w:color w:val="000000"/>
                <w:sz w:val="16"/>
                <w:szCs w:val="16"/>
              </w:rPr>
              <w:t xml:space="preserve">Es un compendio de normas sanitarias relacionadas con la </w:t>
            </w:r>
            <w:proofErr w:type="gramStart"/>
            <w:r w:rsidRPr="000C60C8">
              <w:rPr>
                <w:rFonts w:ascii="Calibri" w:hAnsi="Calibri"/>
                <w:color w:val="000000"/>
                <w:sz w:val="16"/>
                <w:szCs w:val="16"/>
              </w:rPr>
              <w:t>afectación  de</w:t>
            </w:r>
            <w:proofErr w:type="gramEnd"/>
            <w:r w:rsidRPr="000C60C8">
              <w:rPr>
                <w:rFonts w:ascii="Calibri" w:hAnsi="Calibri"/>
                <w:color w:val="000000"/>
                <w:sz w:val="16"/>
                <w:szCs w:val="16"/>
              </w:rPr>
              <w:t xml:space="preserve"> la salud humana y el medio ambiente. Esta ley desarrolla parcialmente el manejo de residuos desde la definición del término hasta su tratamiento y algunas prohibiciones.</w:t>
            </w:r>
          </w:p>
        </w:tc>
      </w:tr>
      <w:tr w:rsidR="00884A66" w:rsidRPr="000C60C8" w14:paraId="3AD46ECB" w14:textId="77777777" w:rsidTr="00251353">
        <w:tc>
          <w:tcPr>
            <w:tcW w:w="1271" w:type="dxa"/>
            <w:shd w:val="clear" w:color="auto" w:fill="EFF5FB"/>
            <w:vAlign w:val="center"/>
          </w:tcPr>
          <w:p w14:paraId="0D0F34D0" w14:textId="585CDEB5" w:rsidR="00884A66" w:rsidRPr="000C60C8" w:rsidRDefault="00884A66" w:rsidP="00884A66">
            <w:pPr>
              <w:pStyle w:val="Prrafodelista"/>
              <w:spacing w:after="0" w:line="240" w:lineRule="auto"/>
              <w:ind w:left="0" w:firstLine="0"/>
              <w:jc w:val="both"/>
              <w:rPr>
                <w:rFonts w:eastAsia="Arial" w:cs="Arial"/>
                <w:sz w:val="16"/>
                <w:szCs w:val="16"/>
                <w:lang w:val="es-419"/>
              </w:rPr>
            </w:pPr>
            <w:proofErr w:type="gramStart"/>
            <w:r w:rsidRPr="000C60C8">
              <w:rPr>
                <w:rFonts w:ascii="Calibri" w:hAnsi="Calibri"/>
                <w:color w:val="000000"/>
                <w:sz w:val="16"/>
                <w:szCs w:val="16"/>
              </w:rPr>
              <w:t>Ley  253</w:t>
            </w:r>
            <w:proofErr w:type="gramEnd"/>
            <w:r w:rsidRPr="000C60C8">
              <w:rPr>
                <w:rFonts w:ascii="Calibri" w:hAnsi="Calibri"/>
                <w:color w:val="000000"/>
                <w:sz w:val="16"/>
                <w:szCs w:val="16"/>
              </w:rPr>
              <w:t xml:space="preserve"> de 1996</w:t>
            </w:r>
          </w:p>
        </w:tc>
        <w:tc>
          <w:tcPr>
            <w:tcW w:w="2693" w:type="dxa"/>
            <w:shd w:val="clear" w:color="auto" w:fill="EFF5FB"/>
            <w:vAlign w:val="center"/>
          </w:tcPr>
          <w:p w14:paraId="1B69CA89" w14:textId="7DD8AD14" w:rsidR="00884A66" w:rsidRPr="000C60C8" w:rsidRDefault="00884A66" w:rsidP="00884A66">
            <w:pPr>
              <w:pStyle w:val="Prrafodelista"/>
              <w:spacing w:after="0" w:line="240" w:lineRule="auto"/>
              <w:ind w:left="0" w:firstLine="0"/>
              <w:jc w:val="both"/>
              <w:rPr>
                <w:rFonts w:eastAsia="Arial" w:cs="Arial"/>
                <w:sz w:val="16"/>
                <w:szCs w:val="16"/>
                <w:lang w:val="es-419"/>
              </w:rPr>
            </w:pPr>
            <w:r w:rsidRPr="000C60C8">
              <w:rPr>
                <w:rFonts w:ascii="Calibri" w:hAnsi="Calibri"/>
                <w:color w:val="000000"/>
                <w:sz w:val="16"/>
                <w:szCs w:val="16"/>
              </w:rPr>
              <w:t>Por medio de la cual se aprueba el Convenio de Basilea sobre el control de los movimientos transfronterizos de los desechos peligrosos y su eliminación.</w:t>
            </w:r>
          </w:p>
        </w:tc>
        <w:tc>
          <w:tcPr>
            <w:tcW w:w="5288" w:type="dxa"/>
            <w:shd w:val="clear" w:color="auto" w:fill="EFF5FB"/>
            <w:vAlign w:val="center"/>
          </w:tcPr>
          <w:p w14:paraId="448B9B5F" w14:textId="06679A1A" w:rsidR="00884A66" w:rsidRPr="000C60C8" w:rsidRDefault="00884A66" w:rsidP="00884A66">
            <w:pPr>
              <w:pStyle w:val="Prrafodelista"/>
              <w:spacing w:after="0" w:line="240" w:lineRule="auto"/>
              <w:ind w:left="0" w:firstLine="0"/>
              <w:jc w:val="both"/>
              <w:rPr>
                <w:rFonts w:eastAsia="Arial" w:cs="Arial"/>
                <w:sz w:val="16"/>
                <w:szCs w:val="16"/>
                <w:lang w:val="es-419"/>
              </w:rPr>
            </w:pPr>
            <w:r w:rsidRPr="000C60C8">
              <w:rPr>
                <w:rFonts w:ascii="Calibri" w:hAnsi="Calibri"/>
                <w:color w:val="000000"/>
                <w:sz w:val="16"/>
                <w:szCs w:val="16"/>
              </w:rPr>
              <w:t xml:space="preserve">Controla el movimiento </w:t>
            </w:r>
            <w:proofErr w:type="gramStart"/>
            <w:r w:rsidRPr="000C60C8">
              <w:rPr>
                <w:rFonts w:ascii="Calibri" w:hAnsi="Calibri"/>
                <w:color w:val="000000"/>
                <w:sz w:val="16"/>
                <w:szCs w:val="16"/>
              </w:rPr>
              <w:t>transfronterizo  de</w:t>
            </w:r>
            <w:proofErr w:type="gramEnd"/>
            <w:r w:rsidRPr="000C60C8">
              <w:rPr>
                <w:rFonts w:ascii="Calibri" w:hAnsi="Calibri"/>
                <w:color w:val="000000"/>
                <w:sz w:val="16"/>
                <w:szCs w:val="16"/>
              </w:rPr>
              <w:t xml:space="preserve"> los residuos peligrosos y prescribe la obligación general de eliminación de esta clase de residuos por parte de los países generadores.</w:t>
            </w:r>
          </w:p>
        </w:tc>
      </w:tr>
      <w:tr w:rsidR="00884A66" w:rsidRPr="000C60C8" w14:paraId="27EC5ABF" w14:textId="77777777" w:rsidTr="00251353">
        <w:tc>
          <w:tcPr>
            <w:tcW w:w="1271" w:type="dxa"/>
            <w:shd w:val="clear" w:color="auto" w:fill="EFF5FB"/>
            <w:vAlign w:val="center"/>
          </w:tcPr>
          <w:p w14:paraId="02AB2F13" w14:textId="26A787B0" w:rsidR="00884A66" w:rsidRPr="000C60C8" w:rsidRDefault="00884A66" w:rsidP="00884A66">
            <w:pPr>
              <w:pStyle w:val="Prrafodelista"/>
              <w:spacing w:after="0" w:line="240" w:lineRule="auto"/>
              <w:ind w:left="0" w:firstLine="0"/>
              <w:jc w:val="both"/>
              <w:rPr>
                <w:rFonts w:eastAsia="Arial" w:cs="Arial"/>
                <w:sz w:val="16"/>
                <w:szCs w:val="16"/>
                <w:lang w:val="es-419"/>
              </w:rPr>
            </w:pPr>
            <w:r w:rsidRPr="000C60C8">
              <w:rPr>
                <w:rFonts w:ascii="Calibri" w:hAnsi="Calibri"/>
                <w:color w:val="000000"/>
                <w:sz w:val="16"/>
                <w:szCs w:val="16"/>
              </w:rPr>
              <w:t>Ley 511 de 1999</w:t>
            </w:r>
          </w:p>
        </w:tc>
        <w:tc>
          <w:tcPr>
            <w:tcW w:w="2693" w:type="dxa"/>
            <w:shd w:val="clear" w:color="auto" w:fill="EFF5FB"/>
            <w:vAlign w:val="center"/>
          </w:tcPr>
          <w:p w14:paraId="7C39B0C2" w14:textId="040D3DE3" w:rsidR="00884A66" w:rsidRPr="000C60C8" w:rsidRDefault="00884A66" w:rsidP="00884A66">
            <w:pPr>
              <w:pStyle w:val="Prrafodelista"/>
              <w:spacing w:after="0" w:line="240" w:lineRule="auto"/>
              <w:ind w:left="0" w:firstLine="0"/>
              <w:jc w:val="both"/>
              <w:rPr>
                <w:rFonts w:eastAsia="Arial" w:cs="Arial"/>
                <w:sz w:val="16"/>
                <w:szCs w:val="16"/>
                <w:lang w:val="es-419"/>
              </w:rPr>
            </w:pPr>
            <w:r w:rsidRPr="000C60C8">
              <w:rPr>
                <w:rFonts w:ascii="Calibri" w:hAnsi="Calibri"/>
                <w:color w:val="000000"/>
                <w:sz w:val="16"/>
                <w:szCs w:val="16"/>
              </w:rPr>
              <w:t>Día Nacional de reciclador y el reciclaje</w:t>
            </w:r>
          </w:p>
        </w:tc>
        <w:tc>
          <w:tcPr>
            <w:tcW w:w="5288" w:type="dxa"/>
            <w:shd w:val="clear" w:color="auto" w:fill="EFF5FB"/>
            <w:vAlign w:val="center"/>
          </w:tcPr>
          <w:p w14:paraId="4C3EFFE9" w14:textId="0B0BE3DE" w:rsidR="00884A66" w:rsidRPr="000C60C8" w:rsidRDefault="00884A66" w:rsidP="00884A66">
            <w:pPr>
              <w:pStyle w:val="Prrafodelista"/>
              <w:spacing w:after="0" w:line="240" w:lineRule="auto"/>
              <w:ind w:left="0" w:firstLine="0"/>
              <w:jc w:val="both"/>
              <w:rPr>
                <w:rFonts w:eastAsia="Arial" w:cs="Arial"/>
                <w:sz w:val="16"/>
                <w:szCs w:val="16"/>
                <w:lang w:val="es-419"/>
              </w:rPr>
            </w:pPr>
            <w:r w:rsidRPr="000C60C8">
              <w:rPr>
                <w:rFonts w:ascii="Calibri" w:hAnsi="Calibri"/>
                <w:color w:val="000000"/>
                <w:sz w:val="16"/>
                <w:szCs w:val="16"/>
              </w:rPr>
              <w:t>Establece la condecoración del reciclador, el día nacional del reciclador y del reciclaje y otros parámetros que incentivan a la educación del recuperador.</w:t>
            </w:r>
          </w:p>
        </w:tc>
      </w:tr>
      <w:tr w:rsidR="00884A66" w:rsidRPr="000C60C8" w14:paraId="701BDB40" w14:textId="77777777" w:rsidTr="00251353">
        <w:tc>
          <w:tcPr>
            <w:tcW w:w="1271" w:type="dxa"/>
            <w:shd w:val="clear" w:color="auto" w:fill="EFF5FB"/>
            <w:vAlign w:val="center"/>
          </w:tcPr>
          <w:p w14:paraId="16AD95F1" w14:textId="40E19106" w:rsidR="00884A66" w:rsidRPr="000C60C8" w:rsidRDefault="00884A66" w:rsidP="00884A6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Ley 511 de 1999</w:t>
            </w:r>
          </w:p>
        </w:tc>
        <w:tc>
          <w:tcPr>
            <w:tcW w:w="2693" w:type="dxa"/>
            <w:shd w:val="clear" w:color="auto" w:fill="EFF5FB"/>
            <w:vAlign w:val="center"/>
          </w:tcPr>
          <w:p w14:paraId="1C5DFFD1" w14:textId="28856B5F" w:rsidR="00884A66" w:rsidRPr="000C60C8" w:rsidRDefault="00884A66" w:rsidP="00884A6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Día Nacional de reciclador y el reciclaje</w:t>
            </w:r>
          </w:p>
        </w:tc>
        <w:tc>
          <w:tcPr>
            <w:tcW w:w="5288" w:type="dxa"/>
            <w:shd w:val="clear" w:color="auto" w:fill="EFF5FB"/>
            <w:vAlign w:val="center"/>
          </w:tcPr>
          <w:p w14:paraId="5D2BB06B" w14:textId="2174ED56" w:rsidR="00884A66" w:rsidRPr="000C60C8" w:rsidRDefault="00884A66" w:rsidP="00884A6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Establece la condecoración del reciclador, el día nacional del reciclador y del reciclaje y otros parámetros que incentivan a la educación del recuperador.</w:t>
            </w:r>
          </w:p>
        </w:tc>
      </w:tr>
      <w:tr w:rsidR="00884A66" w:rsidRPr="000C60C8" w14:paraId="73674CB8" w14:textId="77777777" w:rsidTr="00251353">
        <w:tc>
          <w:tcPr>
            <w:tcW w:w="1271" w:type="dxa"/>
            <w:shd w:val="clear" w:color="auto" w:fill="EFF5FB"/>
            <w:vAlign w:val="center"/>
          </w:tcPr>
          <w:p w14:paraId="0E355739" w14:textId="1DC1BD35" w:rsidR="00884A66" w:rsidRPr="000C60C8" w:rsidRDefault="00884A66" w:rsidP="00884A6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Decreto 1713 de 2002</w:t>
            </w:r>
          </w:p>
        </w:tc>
        <w:tc>
          <w:tcPr>
            <w:tcW w:w="2693" w:type="dxa"/>
            <w:shd w:val="clear" w:color="auto" w:fill="EFF5FB"/>
            <w:vAlign w:val="center"/>
          </w:tcPr>
          <w:p w14:paraId="2F5FE4DF" w14:textId="2C84603D" w:rsidR="00884A66" w:rsidRPr="000C60C8" w:rsidRDefault="00884A66" w:rsidP="00884A6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 xml:space="preserve">Prestación del servicio público de aseo y </w:t>
            </w:r>
            <w:proofErr w:type="gramStart"/>
            <w:r w:rsidRPr="000C60C8">
              <w:rPr>
                <w:rFonts w:ascii="Calibri" w:hAnsi="Calibri"/>
                <w:color w:val="000000"/>
                <w:sz w:val="16"/>
                <w:szCs w:val="16"/>
              </w:rPr>
              <w:t>la  Gestión</w:t>
            </w:r>
            <w:proofErr w:type="gramEnd"/>
            <w:r w:rsidRPr="000C60C8">
              <w:rPr>
                <w:rFonts w:ascii="Calibri" w:hAnsi="Calibri"/>
                <w:color w:val="000000"/>
                <w:sz w:val="16"/>
                <w:szCs w:val="16"/>
              </w:rPr>
              <w:t xml:space="preserve"> Integral de Residuos Sólidos.</w:t>
            </w:r>
          </w:p>
        </w:tc>
        <w:tc>
          <w:tcPr>
            <w:tcW w:w="5288" w:type="dxa"/>
            <w:shd w:val="clear" w:color="auto" w:fill="EFF5FB"/>
            <w:vAlign w:val="center"/>
          </w:tcPr>
          <w:p w14:paraId="0CDC1D93" w14:textId="6D6CD0A9" w:rsidR="00884A66" w:rsidRPr="000C60C8" w:rsidRDefault="00884A66" w:rsidP="00884A6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 xml:space="preserve">Establece las normas sobre las características y calidad del servicio de </w:t>
            </w:r>
            <w:proofErr w:type="gramStart"/>
            <w:r w:rsidRPr="000C60C8">
              <w:rPr>
                <w:rFonts w:ascii="Calibri" w:hAnsi="Calibri"/>
                <w:color w:val="000000"/>
                <w:sz w:val="16"/>
                <w:szCs w:val="16"/>
              </w:rPr>
              <w:t>aseo  (</w:t>
            </w:r>
            <w:proofErr w:type="gramEnd"/>
            <w:r w:rsidRPr="000C60C8">
              <w:rPr>
                <w:rFonts w:ascii="Calibri" w:hAnsi="Calibri"/>
                <w:color w:val="000000"/>
                <w:sz w:val="16"/>
                <w:szCs w:val="16"/>
              </w:rPr>
              <w:t>almacenamiento, recolección, transporte, barrido y limpieza de áreas públicas, estaciones de transferencia, sistema de aprovechamiento de residuos sólidos, disposición final)</w:t>
            </w:r>
          </w:p>
        </w:tc>
      </w:tr>
      <w:tr w:rsidR="00884A66" w:rsidRPr="000C60C8" w14:paraId="4214E2CA" w14:textId="77777777" w:rsidTr="00251353">
        <w:tc>
          <w:tcPr>
            <w:tcW w:w="1271" w:type="dxa"/>
            <w:shd w:val="clear" w:color="auto" w:fill="EFF5FB"/>
            <w:vAlign w:val="center"/>
          </w:tcPr>
          <w:p w14:paraId="76B585ED" w14:textId="0A07D19D" w:rsidR="00884A66" w:rsidRPr="000C60C8" w:rsidRDefault="00884A66" w:rsidP="00884A6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Decreto 1140 de 2003</w:t>
            </w:r>
          </w:p>
        </w:tc>
        <w:tc>
          <w:tcPr>
            <w:tcW w:w="2693" w:type="dxa"/>
            <w:shd w:val="clear" w:color="auto" w:fill="EFF5FB"/>
            <w:vAlign w:val="center"/>
          </w:tcPr>
          <w:p w14:paraId="2CDFDF44" w14:textId="690120C4" w:rsidR="00884A66" w:rsidRPr="000C60C8" w:rsidRDefault="00884A66" w:rsidP="00884A6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Referente a las unidades de almacenamiento y se dictan otras disposiciones.</w:t>
            </w:r>
          </w:p>
        </w:tc>
        <w:tc>
          <w:tcPr>
            <w:tcW w:w="5288" w:type="dxa"/>
            <w:shd w:val="clear" w:color="auto" w:fill="EFF5FB"/>
            <w:vAlign w:val="center"/>
          </w:tcPr>
          <w:p w14:paraId="23850B72" w14:textId="6B52E9E6" w:rsidR="00884A66" w:rsidRPr="000C60C8" w:rsidRDefault="00884A66" w:rsidP="00884A6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 xml:space="preserve">Definen los requisitos que deberán </w:t>
            </w:r>
            <w:proofErr w:type="gramStart"/>
            <w:r w:rsidRPr="000C60C8">
              <w:rPr>
                <w:rFonts w:ascii="Calibri" w:hAnsi="Calibri"/>
                <w:color w:val="000000"/>
                <w:sz w:val="16"/>
                <w:szCs w:val="16"/>
              </w:rPr>
              <w:t>cumplir  las</w:t>
            </w:r>
            <w:proofErr w:type="gramEnd"/>
            <w:r w:rsidRPr="000C60C8">
              <w:rPr>
                <w:rFonts w:ascii="Calibri" w:hAnsi="Calibri"/>
                <w:color w:val="000000"/>
                <w:sz w:val="16"/>
                <w:szCs w:val="16"/>
              </w:rPr>
              <w:t xml:space="preserve"> unidades de almacenamiento de residuos, establece los lugares en los que podrán realizarse la presentación de los residuos.</w:t>
            </w:r>
          </w:p>
        </w:tc>
      </w:tr>
      <w:tr w:rsidR="00577E06" w:rsidRPr="000C60C8" w14:paraId="44DC4249" w14:textId="77777777" w:rsidTr="00251353">
        <w:tc>
          <w:tcPr>
            <w:tcW w:w="1271" w:type="dxa"/>
            <w:shd w:val="clear" w:color="auto" w:fill="EFF5FB"/>
            <w:vAlign w:val="center"/>
          </w:tcPr>
          <w:p w14:paraId="09C64150" w14:textId="1B309248"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Decreto 1505 de 2003</w:t>
            </w:r>
          </w:p>
        </w:tc>
        <w:tc>
          <w:tcPr>
            <w:tcW w:w="2693" w:type="dxa"/>
            <w:shd w:val="clear" w:color="auto" w:fill="EFF5FB"/>
            <w:vAlign w:val="center"/>
          </w:tcPr>
          <w:p w14:paraId="15C446A6" w14:textId="3168828A"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 xml:space="preserve">Planes de Gestión Integral de Residuos Sólidos (PGIRS) y se dictan otras disposiciones. </w:t>
            </w:r>
          </w:p>
        </w:tc>
        <w:tc>
          <w:tcPr>
            <w:tcW w:w="5288" w:type="dxa"/>
            <w:shd w:val="clear" w:color="auto" w:fill="EFF5FB"/>
            <w:vAlign w:val="center"/>
          </w:tcPr>
          <w:p w14:paraId="25D704B4" w14:textId="1164AC52"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Se aplican las siguientes definiciones: "Aprovechamiento en el marco de la gestión integral de los residuos sólidos" y "Aprovechamiento en el marco del servicio público domiciliario de aseo"</w:t>
            </w:r>
          </w:p>
        </w:tc>
      </w:tr>
      <w:tr w:rsidR="00577E06" w:rsidRPr="000C60C8" w14:paraId="3072A552" w14:textId="77777777" w:rsidTr="00251353">
        <w:tc>
          <w:tcPr>
            <w:tcW w:w="1271" w:type="dxa"/>
            <w:shd w:val="clear" w:color="auto" w:fill="EFF5FB"/>
            <w:vAlign w:val="center"/>
          </w:tcPr>
          <w:p w14:paraId="503BAC83" w14:textId="5E338481"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Acuerdo 114 de 2003</w:t>
            </w:r>
          </w:p>
        </w:tc>
        <w:tc>
          <w:tcPr>
            <w:tcW w:w="2693" w:type="dxa"/>
            <w:shd w:val="clear" w:color="auto" w:fill="EFF5FB"/>
            <w:vAlign w:val="center"/>
          </w:tcPr>
          <w:p w14:paraId="1C55FACE" w14:textId="796F23F9"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Por el cual se impulsa en el Distrito el aprovechamiento eficiente de residuos sólidos.</w:t>
            </w:r>
          </w:p>
        </w:tc>
        <w:tc>
          <w:tcPr>
            <w:tcW w:w="5288" w:type="dxa"/>
            <w:shd w:val="clear" w:color="auto" w:fill="EFF5FB"/>
            <w:vAlign w:val="center"/>
          </w:tcPr>
          <w:p w14:paraId="298362D1" w14:textId="37C402DD"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Establece que todas las entidades del Distrito deberán implementar medidas para el manejo de residuos sólidos capacitando y concientizando a sus servidores.</w:t>
            </w:r>
          </w:p>
        </w:tc>
      </w:tr>
      <w:tr w:rsidR="00577E06" w:rsidRPr="000C60C8" w14:paraId="122AB6FC" w14:textId="77777777" w:rsidTr="00251353">
        <w:tc>
          <w:tcPr>
            <w:tcW w:w="1271" w:type="dxa"/>
            <w:shd w:val="clear" w:color="auto" w:fill="EFF5FB"/>
            <w:vAlign w:val="center"/>
          </w:tcPr>
          <w:p w14:paraId="200D5904" w14:textId="75AEB86A"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Decreto 400 de 2004</w:t>
            </w:r>
          </w:p>
        </w:tc>
        <w:tc>
          <w:tcPr>
            <w:tcW w:w="2693" w:type="dxa"/>
            <w:shd w:val="clear" w:color="auto" w:fill="EFF5FB"/>
            <w:vAlign w:val="center"/>
          </w:tcPr>
          <w:p w14:paraId="3B1CB0D7" w14:textId="4AE5BC6F"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 xml:space="preserve"> Por el cual se impulsa el aprovechamiento eficiente de residuos sólidos producidos en las entidades distritales. Reglamentación Acuerdo 114 de 2003.</w:t>
            </w:r>
          </w:p>
        </w:tc>
        <w:tc>
          <w:tcPr>
            <w:tcW w:w="5288" w:type="dxa"/>
            <w:shd w:val="clear" w:color="auto" w:fill="EFF5FB"/>
            <w:vAlign w:val="center"/>
          </w:tcPr>
          <w:p w14:paraId="56B8FF65" w14:textId="6A7AC6F6"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 xml:space="preserve">Impulsa el aprovechamiento </w:t>
            </w:r>
            <w:proofErr w:type="gramStart"/>
            <w:r w:rsidRPr="000C60C8">
              <w:rPr>
                <w:rFonts w:ascii="Calibri" w:hAnsi="Calibri"/>
                <w:color w:val="000000"/>
                <w:sz w:val="16"/>
                <w:szCs w:val="16"/>
              </w:rPr>
              <w:t>eficiente  de</w:t>
            </w:r>
            <w:proofErr w:type="gramEnd"/>
            <w:r w:rsidRPr="000C60C8">
              <w:rPr>
                <w:rFonts w:ascii="Calibri" w:hAnsi="Calibri"/>
                <w:color w:val="000000"/>
                <w:sz w:val="16"/>
                <w:szCs w:val="16"/>
              </w:rPr>
              <w:t xml:space="preserve"> los residuos sólidos producidos en las entidades distritales. Señala el objeto y el ámbito de aplicación, principios, coordinación y asesoramiento, promotores institucionales, contenido mínimo del plan de acción interno y disposición y aplicación inmediata.</w:t>
            </w:r>
          </w:p>
        </w:tc>
      </w:tr>
      <w:tr w:rsidR="00577E06" w:rsidRPr="000C60C8" w14:paraId="50D4A8A5" w14:textId="77777777" w:rsidTr="00251353">
        <w:tc>
          <w:tcPr>
            <w:tcW w:w="1271" w:type="dxa"/>
            <w:shd w:val="clear" w:color="auto" w:fill="EFF5FB"/>
            <w:vAlign w:val="center"/>
          </w:tcPr>
          <w:p w14:paraId="2AF7973A" w14:textId="032FC701"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Decreto 838 de 2005</w:t>
            </w:r>
          </w:p>
        </w:tc>
        <w:tc>
          <w:tcPr>
            <w:tcW w:w="2693" w:type="dxa"/>
            <w:shd w:val="clear" w:color="auto" w:fill="EFF5FB"/>
            <w:vAlign w:val="center"/>
          </w:tcPr>
          <w:p w14:paraId="777153A0" w14:textId="5AF21999"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 xml:space="preserve">Disposición final de residuos </w:t>
            </w:r>
            <w:proofErr w:type="gramStart"/>
            <w:r w:rsidRPr="000C60C8">
              <w:rPr>
                <w:rFonts w:ascii="Calibri" w:hAnsi="Calibri"/>
                <w:color w:val="000000"/>
                <w:sz w:val="16"/>
                <w:szCs w:val="16"/>
              </w:rPr>
              <w:t>sólidos  y</w:t>
            </w:r>
            <w:proofErr w:type="gramEnd"/>
            <w:r w:rsidRPr="000C60C8">
              <w:rPr>
                <w:rFonts w:ascii="Calibri" w:hAnsi="Calibri"/>
                <w:color w:val="000000"/>
                <w:sz w:val="16"/>
                <w:szCs w:val="16"/>
              </w:rPr>
              <w:t xml:space="preserve"> se dictan otras disposiciones.</w:t>
            </w:r>
          </w:p>
        </w:tc>
        <w:tc>
          <w:tcPr>
            <w:tcW w:w="5288" w:type="dxa"/>
            <w:shd w:val="clear" w:color="auto" w:fill="EFF5FB"/>
            <w:vAlign w:val="center"/>
          </w:tcPr>
          <w:p w14:paraId="51A20CDF" w14:textId="14CCF12E"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Establece los procedimientos, criterios, metodologías, prohibiciones y restricciones para la localización de áreas para la disposición final de residuos sólidos.</w:t>
            </w:r>
          </w:p>
        </w:tc>
      </w:tr>
      <w:tr w:rsidR="00577E06" w:rsidRPr="000C60C8" w14:paraId="1AD496F2" w14:textId="77777777" w:rsidTr="00251353">
        <w:tc>
          <w:tcPr>
            <w:tcW w:w="1271" w:type="dxa"/>
            <w:shd w:val="clear" w:color="auto" w:fill="EFF5FB"/>
            <w:vAlign w:val="center"/>
          </w:tcPr>
          <w:p w14:paraId="64424E90" w14:textId="154D4017"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Decreto 312 de 2006 Alcaldía Mayor de Bogotá, D.C.</w:t>
            </w:r>
          </w:p>
        </w:tc>
        <w:tc>
          <w:tcPr>
            <w:tcW w:w="2693" w:type="dxa"/>
            <w:shd w:val="clear" w:color="auto" w:fill="EFF5FB"/>
            <w:vAlign w:val="center"/>
          </w:tcPr>
          <w:p w14:paraId="5ECCD708" w14:textId="4FA065AE"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Por el cual se adopta el Plan Maestro para el Manejo Integral de Residuos Sólidos para Bogotá Distrito Capital</w:t>
            </w:r>
          </w:p>
        </w:tc>
        <w:tc>
          <w:tcPr>
            <w:tcW w:w="5288" w:type="dxa"/>
            <w:shd w:val="clear" w:color="auto" w:fill="EFF5FB"/>
            <w:vAlign w:val="center"/>
          </w:tcPr>
          <w:p w14:paraId="73623D3F" w14:textId="5769AE4F"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Adopta el Plan Maestro para el Manejo Integral de Residuos Sólidos -PMIRS-, para planificar y reglamentar el Sistema de Saneamiento Básico del Distrito Capital, el cual se aplica a todas las personas que generan, reciclan y aprovechan residuos sólidos ordinarios y especiales y a las entidades públicas y personas o empresas privadas y organizaciones comunitarias y cooperativas vinculadas a la prestación del Servicio Público de Aseo, y cuyos periodos para su aplicación son los mismos del Plan de Ordenamiento Territorial de Bogotá y para tales efectos, se considera el corto plazo entre 2006 y 2008; mediano plazo entre 2009 y 2014; y largo plazo entre 2015 y 2019.</w:t>
            </w:r>
          </w:p>
        </w:tc>
      </w:tr>
      <w:tr w:rsidR="00577E06" w:rsidRPr="000C60C8" w14:paraId="6A7FFF54" w14:textId="77777777" w:rsidTr="00251353">
        <w:tc>
          <w:tcPr>
            <w:tcW w:w="1271" w:type="dxa"/>
            <w:shd w:val="clear" w:color="auto" w:fill="EFF5FB"/>
            <w:vAlign w:val="center"/>
          </w:tcPr>
          <w:p w14:paraId="752E572D" w14:textId="0C50EE56"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Acuerdo 287 de 2007 Concejo de Bogotá D.C.</w:t>
            </w:r>
          </w:p>
        </w:tc>
        <w:tc>
          <w:tcPr>
            <w:tcW w:w="2693" w:type="dxa"/>
            <w:shd w:val="clear" w:color="auto" w:fill="EFF5FB"/>
            <w:vAlign w:val="center"/>
          </w:tcPr>
          <w:p w14:paraId="0DD35DC0" w14:textId="17D4005C"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Por el cual se establecen lineamientos para aplicar las acciones afirmativas que garantizan la inclusión de los recicladores de oficio en condiciones de pobreza y vulnerabilidad en los procesos de la gestión y manejo integral de los residuos sólidos.</w:t>
            </w:r>
          </w:p>
        </w:tc>
        <w:tc>
          <w:tcPr>
            <w:tcW w:w="5288" w:type="dxa"/>
            <w:shd w:val="clear" w:color="auto" w:fill="EFF5FB"/>
            <w:vAlign w:val="center"/>
          </w:tcPr>
          <w:p w14:paraId="00C040BB" w14:textId="3B1E75DB"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 xml:space="preserve">Orienta las acciones afirmativas que garantizan la participación de los recicladores de oficio en condiciones de pobreza y vulnerabilidad, en los procesos vinculados a la gestión y manejo integral de los residuos sólidos de Bogotá D.C. </w:t>
            </w:r>
          </w:p>
        </w:tc>
      </w:tr>
      <w:tr w:rsidR="00577E06" w:rsidRPr="000C60C8" w14:paraId="08DB63B5" w14:textId="77777777" w:rsidTr="00251353">
        <w:tc>
          <w:tcPr>
            <w:tcW w:w="1271" w:type="dxa"/>
            <w:shd w:val="clear" w:color="auto" w:fill="EFF5FB"/>
            <w:vAlign w:val="center"/>
          </w:tcPr>
          <w:p w14:paraId="3D7FEBD8" w14:textId="1A9C2163"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Decreto 3695 de 2009 Nivel Nacional</w:t>
            </w:r>
          </w:p>
        </w:tc>
        <w:tc>
          <w:tcPr>
            <w:tcW w:w="2693" w:type="dxa"/>
            <w:shd w:val="clear" w:color="auto" w:fill="EFF5FB"/>
            <w:vAlign w:val="center"/>
          </w:tcPr>
          <w:p w14:paraId="6F878BD7" w14:textId="72B989BC"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Por medio del cual se reglamenta la Ley 1259 de 2008 y se dictan otras disposiciones.</w:t>
            </w:r>
          </w:p>
        </w:tc>
        <w:tc>
          <w:tcPr>
            <w:tcW w:w="5288" w:type="dxa"/>
            <w:shd w:val="clear" w:color="auto" w:fill="EFF5FB"/>
            <w:vAlign w:val="center"/>
          </w:tcPr>
          <w:p w14:paraId="3E0CB729" w14:textId="52E5E908"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Reglamenta el formato, presentación y contenido del comparendo ambiental de que trata la Ley 1259 de 2008.</w:t>
            </w:r>
          </w:p>
        </w:tc>
      </w:tr>
      <w:tr w:rsidR="00577E06" w:rsidRPr="000C60C8" w14:paraId="14819670" w14:textId="77777777" w:rsidTr="00251353">
        <w:tc>
          <w:tcPr>
            <w:tcW w:w="1271" w:type="dxa"/>
            <w:shd w:val="clear" w:color="auto" w:fill="EFF5FB"/>
            <w:vAlign w:val="center"/>
          </w:tcPr>
          <w:p w14:paraId="4245FEB3" w14:textId="5929BBEF"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Decreto 1505 de 2003</w:t>
            </w:r>
          </w:p>
        </w:tc>
        <w:tc>
          <w:tcPr>
            <w:tcW w:w="2693" w:type="dxa"/>
            <w:shd w:val="clear" w:color="auto" w:fill="EFF5FB"/>
            <w:vAlign w:val="center"/>
          </w:tcPr>
          <w:p w14:paraId="1248E190" w14:textId="311BAC79" w:rsidR="00577E06" w:rsidRPr="000C60C8" w:rsidRDefault="00577E06" w:rsidP="000C60C8">
            <w:pPr>
              <w:pStyle w:val="Prrafodelista"/>
              <w:spacing w:after="0" w:line="240" w:lineRule="auto"/>
              <w:ind w:left="0" w:right="114" w:firstLine="0"/>
              <w:jc w:val="both"/>
              <w:rPr>
                <w:rFonts w:ascii="Calibri" w:hAnsi="Calibri"/>
                <w:color w:val="000000"/>
                <w:sz w:val="16"/>
                <w:szCs w:val="16"/>
              </w:rPr>
            </w:pPr>
            <w:r w:rsidRPr="000C60C8">
              <w:rPr>
                <w:rFonts w:ascii="Calibri" w:hAnsi="Calibri"/>
                <w:color w:val="000000"/>
                <w:sz w:val="16"/>
                <w:szCs w:val="16"/>
              </w:rPr>
              <w:t xml:space="preserve">Planes de Gestión Integral de Residuos Sólidos (PGIRS) y se dictan otras disposiciones. </w:t>
            </w:r>
          </w:p>
        </w:tc>
        <w:tc>
          <w:tcPr>
            <w:tcW w:w="5288" w:type="dxa"/>
            <w:shd w:val="clear" w:color="auto" w:fill="EFF5FB"/>
            <w:vAlign w:val="center"/>
          </w:tcPr>
          <w:p w14:paraId="1101FE33" w14:textId="0DB45FF9"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Se aplican las siguientes definiciones: "Aprovechamiento en el marco de la gestión integral de los residuos sólidos" y "Aprovechamiento en el marco del servicio público domiciliario de aseo"</w:t>
            </w:r>
          </w:p>
        </w:tc>
      </w:tr>
      <w:tr w:rsidR="00577E06" w:rsidRPr="000C60C8" w14:paraId="71320D08" w14:textId="77777777" w:rsidTr="00251353">
        <w:tc>
          <w:tcPr>
            <w:tcW w:w="1271" w:type="dxa"/>
            <w:shd w:val="clear" w:color="auto" w:fill="EFF5FB"/>
            <w:vAlign w:val="center"/>
          </w:tcPr>
          <w:p w14:paraId="3FE3BC3F" w14:textId="5BD287E8"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lastRenderedPageBreak/>
              <w:t>Acuerdo 114 de 2003</w:t>
            </w:r>
          </w:p>
        </w:tc>
        <w:tc>
          <w:tcPr>
            <w:tcW w:w="2693" w:type="dxa"/>
            <w:shd w:val="clear" w:color="auto" w:fill="EFF5FB"/>
            <w:vAlign w:val="center"/>
          </w:tcPr>
          <w:p w14:paraId="1EB99288" w14:textId="36B4AED1"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Por el cual se impulsa en el Distrito el aprovechamiento eficiente de residuos sólidos.</w:t>
            </w:r>
          </w:p>
        </w:tc>
        <w:tc>
          <w:tcPr>
            <w:tcW w:w="5288" w:type="dxa"/>
            <w:shd w:val="clear" w:color="auto" w:fill="EFF5FB"/>
            <w:vAlign w:val="center"/>
          </w:tcPr>
          <w:p w14:paraId="5037367C" w14:textId="4CA3521B"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Establece que todas las entidades del Distrito deberán implementar medidas para el manejo de residuos sólidos capacitando y concientizando a sus servidores.</w:t>
            </w:r>
          </w:p>
        </w:tc>
      </w:tr>
      <w:tr w:rsidR="00577E06" w:rsidRPr="000C60C8" w14:paraId="65EB0CC3" w14:textId="77777777" w:rsidTr="00251353">
        <w:tc>
          <w:tcPr>
            <w:tcW w:w="1271" w:type="dxa"/>
            <w:shd w:val="clear" w:color="auto" w:fill="EFF5FB"/>
            <w:vAlign w:val="center"/>
          </w:tcPr>
          <w:p w14:paraId="1081D7C3" w14:textId="3091A8E8"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Decreto 400 de 2004</w:t>
            </w:r>
          </w:p>
        </w:tc>
        <w:tc>
          <w:tcPr>
            <w:tcW w:w="2693" w:type="dxa"/>
            <w:shd w:val="clear" w:color="auto" w:fill="EFF5FB"/>
            <w:vAlign w:val="center"/>
          </w:tcPr>
          <w:p w14:paraId="603F1D0B" w14:textId="5F09909D"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 xml:space="preserve"> Por el cual se impulsa el aprovechamiento eficiente de residuos sólidos producidos en las entidades distritales. Reglamentación Acuerdo 114 de 2003.</w:t>
            </w:r>
          </w:p>
        </w:tc>
        <w:tc>
          <w:tcPr>
            <w:tcW w:w="5288" w:type="dxa"/>
            <w:shd w:val="clear" w:color="auto" w:fill="EFF5FB"/>
            <w:vAlign w:val="center"/>
          </w:tcPr>
          <w:p w14:paraId="704A1A97" w14:textId="0CFDCA0E"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 xml:space="preserve">Impulsa el aprovechamiento </w:t>
            </w:r>
            <w:proofErr w:type="gramStart"/>
            <w:r w:rsidRPr="000C60C8">
              <w:rPr>
                <w:rFonts w:ascii="Calibri" w:hAnsi="Calibri"/>
                <w:color w:val="000000"/>
                <w:sz w:val="16"/>
                <w:szCs w:val="16"/>
              </w:rPr>
              <w:t>eficiente  de</w:t>
            </w:r>
            <w:proofErr w:type="gramEnd"/>
            <w:r w:rsidRPr="000C60C8">
              <w:rPr>
                <w:rFonts w:ascii="Calibri" w:hAnsi="Calibri"/>
                <w:color w:val="000000"/>
                <w:sz w:val="16"/>
                <w:szCs w:val="16"/>
              </w:rPr>
              <w:t xml:space="preserve"> los residuos sólidos producidos en las entidades distritales. Señala el objeto y el ámbito de aplicación, principios, coordinación y asesoramiento, promotores institucionales, contenido mínimo del plan de acción interno y disposición y aplicación inmediata.</w:t>
            </w:r>
          </w:p>
        </w:tc>
      </w:tr>
      <w:tr w:rsidR="00577E06" w:rsidRPr="000C60C8" w14:paraId="098A6141" w14:textId="77777777" w:rsidTr="00251353">
        <w:tc>
          <w:tcPr>
            <w:tcW w:w="1271" w:type="dxa"/>
            <w:shd w:val="clear" w:color="auto" w:fill="EFF5FB"/>
            <w:vAlign w:val="center"/>
          </w:tcPr>
          <w:p w14:paraId="11CF8C27" w14:textId="7F3D2797"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Decreto 838 de 2005</w:t>
            </w:r>
          </w:p>
        </w:tc>
        <w:tc>
          <w:tcPr>
            <w:tcW w:w="2693" w:type="dxa"/>
            <w:shd w:val="clear" w:color="auto" w:fill="EFF5FB"/>
            <w:vAlign w:val="center"/>
          </w:tcPr>
          <w:p w14:paraId="6240811E" w14:textId="6824C802"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 xml:space="preserve">Disposición final de residuos </w:t>
            </w:r>
            <w:proofErr w:type="gramStart"/>
            <w:r w:rsidRPr="000C60C8">
              <w:rPr>
                <w:rFonts w:ascii="Calibri" w:hAnsi="Calibri"/>
                <w:color w:val="000000"/>
                <w:sz w:val="16"/>
                <w:szCs w:val="16"/>
              </w:rPr>
              <w:t>sólidos  y</w:t>
            </w:r>
            <w:proofErr w:type="gramEnd"/>
            <w:r w:rsidRPr="000C60C8">
              <w:rPr>
                <w:rFonts w:ascii="Calibri" w:hAnsi="Calibri"/>
                <w:color w:val="000000"/>
                <w:sz w:val="16"/>
                <w:szCs w:val="16"/>
              </w:rPr>
              <w:t xml:space="preserve"> se dictan otras disposiciones.</w:t>
            </w:r>
          </w:p>
        </w:tc>
        <w:tc>
          <w:tcPr>
            <w:tcW w:w="5288" w:type="dxa"/>
            <w:shd w:val="clear" w:color="auto" w:fill="EFF5FB"/>
            <w:vAlign w:val="center"/>
          </w:tcPr>
          <w:p w14:paraId="5FA64AA4" w14:textId="6619F42D" w:rsidR="00577E06" w:rsidRPr="000C60C8" w:rsidRDefault="00577E06" w:rsidP="00577E06">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Establece los procedimientos, criterios, metodologías, prohibiciones y restricciones para la localización de áreas para la disposición final de residuos sólidos.</w:t>
            </w:r>
          </w:p>
        </w:tc>
      </w:tr>
      <w:tr w:rsidR="000C60C8" w:rsidRPr="000C60C8" w14:paraId="7D606220" w14:textId="77777777" w:rsidTr="00251353">
        <w:tc>
          <w:tcPr>
            <w:tcW w:w="1271" w:type="dxa"/>
            <w:shd w:val="clear" w:color="auto" w:fill="EFF5FB"/>
            <w:vAlign w:val="center"/>
          </w:tcPr>
          <w:p w14:paraId="24A8B2A0" w14:textId="14ACDA9F"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Resolución 754 de 2014 Ministerio de Vivienda, Ciudad y Territorio</w:t>
            </w:r>
          </w:p>
        </w:tc>
        <w:tc>
          <w:tcPr>
            <w:tcW w:w="2693" w:type="dxa"/>
            <w:shd w:val="clear" w:color="auto" w:fill="EFF5FB"/>
            <w:vAlign w:val="center"/>
          </w:tcPr>
          <w:p w14:paraId="76D95C78" w14:textId="464BB45E"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Por la cual se adopta la metodología para la formulación, implementación, evaluación, seguimiento, control y actualización de los Planes de Gestión Integral de Residuos Sólidos.</w:t>
            </w:r>
          </w:p>
        </w:tc>
        <w:tc>
          <w:tcPr>
            <w:tcW w:w="5288" w:type="dxa"/>
            <w:shd w:val="clear" w:color="auto" w:fill="EFF5FB"/>
            <w:vAlign w:val="center"/>
          </w:tcPr>
          <w:p w14:paraId="0BBD6F38" w14:textId="6153533D"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Adopta la metodología para la formulación, implementación, evaluación, seguimiento, control y actualización de los Planes de Gestión Integral de Residuos Sólidos -PGIRS-. Es responsabilidad de los municipios, distritos y esquemas asociativos territoriales, la formulación, implementación, evaluación, seguimiento, control y actualización del PGIRS en el ámbito local o regional, según el caso.</w:t>
            </w:r>
          </w:p>
        </w:tc>
      </w:tr>
      <w:tr w:rsidR="000C60C8" w:rsidRPr="000C60C8" w14:paraId="04DBFCD9" w14:textId="77777777" w:rsidTr="00251353">
        <w:tc>
          <w:tcPr>
            <w:tcW w:w="1271" w:type="dxa"/>
            <w:shd w:val="clear" w:color="auto" w:fill="EFF5FB"/>
            <w:vAlign w:val="center"/>
          </w:tcPr>
          <w:p w14:paraId="15F41EFF" w14:textId="54AD23E0"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Decreto 504 de 2015 Alcaldía Mayor de Bogotá, D.C.</w:t>
            </w:r>
          </w:p>
        </w:tc>
        <w:tc>
          <w:tcPr>
            <w:tcW w:w="2693" w:type="dxa"/>
            <w:shd w:val="clear" w:color="auto" w:fill="EFF5FB"/>
            <w:vAlign w:val="center"/>
          </w:tcPr>
          <w:p w14:paraId="5155CA91" w14:textId="1146249D"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Por el cual se conforma el Grupo Coordinador y el Grupo Técnico de Trabajo para la formulación, implementación, evaluación, seguimiento, control y actualización del Plan de Gestión Integral de Residuos Sólidos -PGIRS- del Distrito Capital, y se dictan otras disposiciones.</w:t>
            </w:r>
          </w:p>
        </w:tc>
        <w:tc>
          <w:tcPr>
            <w:tcW w:w="5288" w:type="dxa"/>
            <w:shd w:val="clear" w:color="auto" w:fill="EFF5FB"/>
            <w:vAlign w:val="center"/>
          </w:tcPr>
          <w:p w14:paraId="63490F47" w14:textId="4AF76583"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 xml:space="preserve">Conforma el grupo coordinador para la formulación del Plan de Gestión Integral de Residuos Sólidos -PGIRS, como un grupo consultivo interdisciplinario con experiencia en los aspectos técnicos, operativo, social ambiental, legal, financiero y administrativo en la gestión de residuos sólidos y del servicio público de aseo. </w:t>
            </w:r>
          </w:p>
        </w:tc>
      </w:tr>
      <w:tr w:rsidR="000C60C8" w:rsidRPr="000C60C8" w14:paraId="3084535D" w14:textId="77777777" w:rsidTr="00251353">
        <w:tc>
          <w:tcPr>
            <w:tcW w:w="1271" w:type="dxa"/>
            <w:shd w:val="clear" w:color="auto" w:fill="EFF5FB"/>
            <w:vAlign w:val="center"/>
          </w:tcPr>
          <w:p w14:paraId="635E122D" w14:textId="0FFE4190"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Decreto 548 de 2015 Alcaldía Mayor de Bogotá, D.C.</w:t>
            </w:r>
          </w:p>
        </w:tc>
        <w:tc>
          <w:tcPr>
            <w:tcW w:w="2693" w:type="dxa"/>
            <w:shd w:val="clear" w:color="auto" w:fill="EFF5FB"/>
            <w:vAlign w:val="center"/>
          </w:tcPr>
          <w:p w14:paraId="2AEC2C9A" w14:textId="2825E52A"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Por el cual se adopta el Plan de Gestión Integral de Residuos Sólidos -PGIRS- del Distrito Capital, y se dictan otras disposiciones.</w:t>
            </w:r>
          </w:p>
        </w:tc>
        <w:tc>
          <w:tcPr>
            <w:tcW w:w="5288" w:type="dxa"/>
            <w:shd w:val="clear" w:color="auto" w:fill="EFF5FB"/>
            <w:vAlign w:val="center"/>
          </w:tcPr>
          <w:p w14:paraId="4177EB22" w14:textId="50D54A68"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 xml:space="preserve">Adopta el Plan de Gestión Integral de Residuos Sólidos -PGIRS- para el Distrito Capital 2016-2027, que permita orientar en el corto, mediano y largo plazo la política pública para la gestión integral de los residuos en el Distrito Capital. </w:t>
            </w:r>
          </w:p>
        </w:tc>
      </w:tr>
      <w:tr w:rsidR="000C60C8" w:rsidRPr="000C60C8" w14:paraId="2C3E0050" w14:textId="77777777" w:rsidTr="00251353">
        <w:tc>
          <w:tcPr>
            <w:tcW w:w="1271" w:type="dxa"/>
            <w:shd w:val="clear" w:color="auto" w:fill="EFF5FB"/>
            <w:vAlign w:val="center"/>
          </w:tcPr>
          <w:p w14:paraId="50BF6212" w14:textId="219462EE"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Decreto 586 de 2015 Alcaldía Mayor de Bogotá, D.C.</w:t>
            </w:r>
          </w:p>
        </w:tc>
        <w:tc>
          <w:tcPr>
            <w:tcW w:w="2693" w:type="dxa"/>
            <w:shd w:val="clear" w:color="auto" w:fill="EFF5FB"/>
            <w:vAlign w:val="center"/>
          </w:tcPr>
          <w:p w14:paraId="5922403A" w14:textId="54A4148F"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Por medio del cual se adopta el modelo eficiente y sostenible de gestión de los Residuos de Construcción y Demolición - RCD en Bogotá D.C.</w:t>
            </w:r>
          </w:p>
        </w:tc>
        <w:tc>
          <w:tcPr>
            <w:tcW w:w="5288" w:type="dxa"/>
            <w:shd w:val="clear" w:color="auto" w:fill="EFF5FB"/>
            <w:vAlign w:val="center"/>
          </w:tcPr>
          <w:p w14:paraId="1206DC4C" w14:textId="70EDAD17"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 xml:space="preserve">Adoptó el modelo eficiente y sostenible de gestión de los escombros en la ciudad de </w:t>
            </w:r>
            <w:proofErr w:type="gramStart"/>
            <w:r w:rsidRPr="000C60C8">
              <w:rPr>
                <w:rFonts w:ascii="Calibri" w:hAnsi="Calibri"/>
                <w:color w:val="000000"/>
                <w:sz w:val="16"/>
                <w:szCs w:val="16"/>
              </w:rPr>
              <w:t>Bogotá  RCD</w:t>
            </w:r>
            <w:proofErr w:type="gramEnd"/>
            <w:r w:rsidRPr="000C60C8">
              <w:rPr>
                <w:rFonts w:ascii="Calibri" w:hAnsi="Calibri"/>
                <w:color w:val="000000"/>
                <w:sz w:val="16"/>
                <w:szCs w:val="16"/>
              </w:rPr>
              <w:t xml:space="preserve">, el cual propende por su mayor recuperación y reincorporación en los procesos constructivos de la ciudad, por medio de la participación de los agentes del ciclo, el uso de herramientas e infraestructuras y su implementación a través de líneas programáticas, a corto, mediano y largo plazo. </w:t>
            </w:r>
          </w:p>
        </w:tc>
      </w:tr>
      <w:tr w:rsidR="000C60C8" w:rsidRPr="000C60C8" w14:paraId="55B63A0E" w14:textId="77777777" w:rsidTr="00251353">
        <w:tc>
          <w:tcPr>
            <w:tcW w:w="1271" w:type="dxa"/>
            <w:shd w:val="clear" w:color="auto" w:fill="EFF5FB"/>
            <w:vAlign w:val="center"/>
          </w:tcPr>
          <w:p w14:paraId="3AB38D02" w14:textId="11C06A8C"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Decreto Único Reglamentario 1076 de 2015 Nivel Nacional</w:t>
            </w:r>
          </w:p>
        </w:tc>
        <w:tc>
          <w:tcPr>
            <w:tcW w:w="2693" w:type="dxa"/>
            <w:shd w:val="clear" w:color="auto" w:fill="EFF5FB"/>
            <w:vAlign w:val="center"/>
          </w:tcPr>
          <w:p w14:paraId="15354CD6" w14:textId="1DC440BF"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Por medio del cual se expide el Decreto Único Reglamentario del Sector Ambiente y Desarrollo Sostenible</w:t>
            </w:r>
          </w:p>
        </w:tc>
        <w:tc>
          <w:tcPr>
            <w:tcW w:w="5288" w:type="dxa"/>
            <w:shd w:val="clear" w:color="auto" w:fill="EFF5FB"/>
            <w:vAlign w:val="center"/>
          </w:tcPr>
          <w:p w14:paraId="38D16FAE" w14:textId="003E4BC6"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Compila las disposiciones reglamentarias del Sector Ambiente. Establece la obligación para que en los Planes de Gestión Integral de Residuos Sólidos (PGIRS) se incorporen las acciones necesarias para dar cumplimiento a lo establecido en el plan de acción relativo a residuos sólidos- sin perjuicio de las obligaciones contractuales del operador público, privado o mixto del servicio de aseo, (Articulo 2.2.5.14.1.9).</w:t>
            </w:r>
          </w:p>
        </w:tc>
      </w:tr>
      <w:tr w:rsidR="000C60C8" w:rsidRPr="000C60C8" w14:paraId="464167A0" w14:textId="77777777" w:rsidTr="00251353">
        <w:tc>
          <w:tcPr>
            <w:tcW w:w="1271" w:type="dxa"/>
            <w:shd w:val="clear" w:color="auto" w:fill="EFF5FB"/>
            <w:vAlign w:val="center"/>
          </w:tcPr>
          <w:p w14:paraId="1BC086CB" w14:textId="20F49474"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Decreto Único Reglamentario 1077 de 2015 Nivel Nacional</w:t>
            </w:r>
          </w:p>
        </w:tc>
        <w:tc>
          <w:tcPr>
            <w:tcW w:w="2693" w:type="dxa"/>
            <w:shd w:val="clear" w:color="auto" w:fill="EFF5FB"/>
            <w:vAlign w:val="center"/>
          </w:tcPr>
          <w:p w14:paraId="43FFE486" w14:textId="61EFF9AF"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Por medio del cual se expide el Decreto Único Reglamentario del Sector Vivienda, Ciudad y Territorio.</w:t>
            </w:r>
          </w:p>
        </w:tc>
        <w:tc>
          <w:tcPr>
            <w:tcW w:w="5288" w:type="dxa"/>
            <w:shd w:val="clear" w:color="auto" w:fill="EFF5FB"/>
            <w:vAlign w:val="center"/>
          </w:tcPr>
          <w:p w14:paraId="4AEECD28" w14:textId="7662517E"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Compila la normatividad sob</w:t>
            </w:r>
            <w:r w:rsidR="0029789B">
              <w:rPr>
                <w:rFonts w:ascii="Calibri" w:hAnsi="Calibri"/>
                <w:color w:val="000000"/>
                <w:sz w:val="16"/>
                <w:szCs w:val="16"/>
              </w:rPr>
              <w:t>r</w:t>
            </w:r>
            <w:r w:rsidRPr="000C60C8">
              <w:rPr>
                <w:rFonts w:ascii="Calibri" w:hAnsi="Calibri"/>
                <w:color w:val="000000"/>
                <w:sz w:val="16"/>
                <w:szCs w:val="16"/>
              </w:rPr>
              <w:t>e la Gestión Integral de los Residuos Sólidos. Señala que los municipios y distritos deberán elaborar, implementar y mantener actualizado un plan municipal o distrital para la gestión integral de residuos o desechos sólidos en el ámbito local y/o regional según el caso, en el marco de la gestión integral de los residuos. (Artículo 2.3.2.2.3.87 al 2.3.2.2.3.95 ).</w:t>
            </w:r>
          </w:p>
        </w:tc>
      </w:tr>
      <w:tr w:rsidR="000C60C8" w:rsidRPr="000C60C8" w14:paraId="4117C95C" w14:textId="77777777" w:rsidTr="00251353">
        <w:tc>
          <w:tcPr>
            <w:tcW w:w="1271" w:type="dxa"/>
            <w:shd w:val="clear" w:color="auto" w:fill="EFF5FB"/>
            <w:vAlign w:val="center"/>
          </w:tcPr>
          <w:p w14:paraId="375ED2D9" w14:textId="1F6B1922"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Resolución 754 de 2014 Ministerio de Vivienda, Ciudad y Territorio</w:t>
            </w:r>
          </w:p>
        </w:tc>
        <w:tc>
          <w:tcPr>
            <w:tcW w:w="2693" w:type="dxa"/>
            <w:shd w:val="clear" w:color="auto" w:fill="EFF5FB"/>
            <w:vAlign w:val="center"/>
          </w:tcPr>
          <w:p w14:paraId="4BCBAD2B" w14:textId="6AB00278"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Por la cual se adopta la metodología para la formulación, implementación, evaluación, seguimiento, control y actualización de los Planes de Gestión Integral de Residuos Sólidos.</w:t>
            </w:r>
          </w:p>
        </w:tc>
        <w:tc>
          <w:tcPr>
            <w:tcW w:w="5288" w:type="dxa"/>
            <w:shd w:val="clear" w:color="auto" w:fill="EFF5FB"/>
            <w:vAlign w:val="center"/>
          </w:tcPr>
          <w:p w14:paraId="5FBF1865" w14:textId="7D5B9C9E"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Adopta la metodología para la formulación, implementación, evaluación, seguimiento, control y actualización de los Planes de Gestión Integral de Residuos Sólidos -PGIRS-. Es responsabilidad de los municipios, distritos y esquemas asociativos territoriales, la formulación, implementación, evaluación, seguimiento, control y actualización del PGIRS en el ámbito local o regional, según el caso.</w:t>
            </w:r>
          </w:p>
        </w:tc>
      </w:tr>
      <w:tr w:rsidR="000C60C8" w:rsidRPr="000C60C8" w14:paraId="109DBD30" w14:textId="77777777" w:rsidTr="00251353">
        <w:tc>
          <w:tcPr>
            <w:tcW w:w="1271" w:type="dxa"/>
            <w:shd w:val="clear" w:color="auto" w:fill="EFF5FB"/>
            <w:vAlign w:val="center"/>
          </w:tcPr>
          <w:p w14:paraId="15FB4A50" w14:textId="3E94503C"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Decreto 504 de 2015 Alcaldía Mayor de Bogotá, D.C.</w:t>
            </w:r>
          </w:p>
        </w:tc>
        <w:tc>
          <w:tcPr>
            <w:tcW w:w="2693" w:type="dxa"/>
            <w:shd w:val="clear" w:color="auto" w:fill="EFF5FB"/>
            <w:vAlign w:val="center"/>
          </w:tcPr>
          <w:p w14:paraId="645E9EE6" w14:textId="5AD6EAEE"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Por el cual se conforma el Grupo Coordinador y el Grupo Técnico de Trabajo para la formulación, implementación, evaluación, seguimiento, control y actualización del Plan de Gestión Integral de Residuos Sólidos -PGIRS- del Distrito Capital, y se dictan otras disposiciones.</w:t>
            </w:r>
          </w:p>
        </w:tc>
        <w:tc>
          <w:tcPr>
            <w:tcW w:w="5288" w:type="dxa"/>
            <w:shd w:val="clear" w:color="auto" w:fill="EFF5FB"/>
            <w:vAlign w:val="center"/>
          </w:tcPr>
          <w:p w14:paraId="1D02D478" w14:textId="01FFA433"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 xml:space="preserve">Conforma el grupo coordinador para la formulación del Plan de Gestión Integral de Residuos Sólidos -PGIRS, como un grupo consultivo interdisciplinario con experiencia en los aspectos técnicos, operativo, social ambiental, legal, financiero y administrativo en la gestión de residuos sólidos y del servicio público de aseo. </w:t>
            </w:r>
          </w:p>
        </w:tc>
      </w:tr>
      <w:tr w:rsidR="000C60C8" w:rsidRPr="000C60C8" w14:paraId="61669C80" w14:textId="77777777" w:rsidTr="00251353">
        <w:tc>
          <w:tcPr>
            <w:tcW w:w="1271" w:type="dxa"/>
            <w:shd w:val="clear" w:color="auto" w:fill="EFF5FB"/>
            <w:vAlign w:val="center"/>
          </w:tcPr>
          <w:p w14:paraId="3E315135" w14:textId="474AF60B"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lastRenderedPageBreak/>
              <w:t>Decreto 548 de 2015 Alcaldía Mayor de Bogotá, D.C.</w:t>
            </w:r>
          </w:p>
        </w:tc>
        <w:tc>
          <w:tcPr>
            <w:tcW w:w="2693" w:type="dxa"/>
            <w:shd w:val="clear" w:color="auto" w:fill="EFF5FB"/>
            <w:vAlign w:val="center"/>
          </w:tcPr>
          <w:p w14:paraId="05053D0B" w14:textId="21CDE2B6"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Por el cual se adopta el Plan de Gestión Integral de Residuos Sólidos -PGIRS- del Distrito Capital, y se dictan otras disposiciones.</w:t>
            </w:r>
          </w:p>
        </w:tc>
        <w:tc>
          <w:tcPr>
            <w:tcW w:w="5288" w:type="dxa"/>
            <w:shd w:val="clear" w:color="auto" w:fill="EFF5FB"/>
            <w:vAlign w:val="center"/>
          </w:tcPr>
          <w:p w14:paraId="350379DB" w14:textId="727F1B02"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 xml:space="preserve">Adopta el Plan de Gestión Integral de Residuos Sólidos -PGIRS- para el Distrito Capital 2016-2027, que permita orientar en el corto, mediano y largo plazo la política pública para la gestión integral de los residuos en el Distrito Capital. </w:t>
            </w:r>
          </w:p>
        </w:tc>
      </w:tr>
      <w:tr w:rsidR="000C60C8" w:rsidRPr="000C60C8" w14:paraId="4CABAFC5" w14:textId="77777777" w:rsidTr="00251353">
        <w:tc>
          <w:tcPr>
            <w:tcW w:w="1271" w:type="dxa"/>
            <w:shd w:val="clear" w:color="auto" w:fill="EFF5FB"/>
            <w:vAlign w:val="center"/>
          </w:tcPr>
          <w:p w14:paraId="66BA8CC8" w14:textId="113C1317"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Decreto 586 de 2015 Alcaldía Mayor de Bogotá, D.C.</w:t>
            </w:r>
          </w:p>
        </w:tc>
        <w:tc>
          <w:tcPr>
            <w:tcW w:w="2693" w:type="dxa"/>
            <w:shd w:val="clear" w:color="auto" w:fill="EFF5FB"/>
            <w:vAlign w:val="center"/>
          </w:tcPr>
          <w:p w14:paraId="1DB7C44D" w14:textId="48B51A78"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Por medio del cual se adopta el modelo eficiente y sostenible de gestión de los Residuos de Construcción y Demolición - RCD en Bogotá D.C.</w:t>
            </w:r>
          </w:p>
        </w:tc>
        <w:tc>
          <w:tcPr>
            <w:tcW w:w="5288" w:type="dxa"/>
            <w:shd w:val="clear" w:color="auto" w:fill="EFF5FB"/>
            <w:vAlign w:val="center"/>
          </w:tcPr>
          <w:p w14:paraId="2DF28A2D" w14:textId="2DF0306E"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 xml:space="preserve">Adoptó el modelo eficiente y sostenible de gestión de los escombros en la ciudad de </w:t>
            </w:r>
            <w:proofErr w:type="gramStart"/>
            <w:r w:rsidRPr="000C60C8">
              <w:rPr>
                <w:rFonts w:ascii="Calibri" w:hAnsi="Calibri"/>
                <w:color w:val="000000"/>
                <w:sz w:val="16"/>
                <w:szCs w:val="16"/>
              </w:rPr>
              <w:t>Bogotá  RCD</w:t>
            </w:r>
            <w:proofErr w:type="gramEnd"/>
            <w:r w:rsidRPr="000C60C8">
              <w:rPr>
                <w:rFonts w:ascii="Calibri" w:hAnsi="Calibri"/>
                <w:color w:val="000000"/>
                <w:sz w:val="16"/>
                <w:szCs w:val="16"/>
              </w:rPr>
              <w:t xml:space="preserve">, el cual propende por su mayor recuperación y reincorporación en los procesos constructivos de la ciudad, por medio de la participación de los agentes del ciclo, el uso de herramientas e infraestructuras y su implementación a través de líneas programáticas, a corto, mediano y largo plazo. </w:t>
            </w:r>
          </w:p>
        </w:tc>
      </w:tr>
      <w:tr w:rsidR="000C60C8" w:rsidRPr="000C60C8" w14:paraId="363A0DC5" w14:textId="77777777" w:rsidTr="00251353">
        <w:tc>
          <w:tcPr>
            <w:tcW w:w="1271" w:type="dxa"/>
            <w:shd w:val="clear" w:color="auto" w:fill="EFF5FB"/>
            <w:vAlign w:val="center"/>
          </w:tcPr>
          <w:p w14:paraId="15216F57" w14:textId="386F2937"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Decreto Único Reglamentario 1076 de 2015 Nivel Nacional</w:t>
            </w:r>
          </w:p>
        </w:tc>
        <w:tc>
          <w:tcPr>
            <w:tcW w:w="2693" w:type="dxa"/>
            <w:shd w:val="clear" w:color="auto" w:fill="EFF5FB"/>
            <w:vAlign w:val="center"/>
          </w:tcPr>
          <w:p w14:paraId="3EB9133B" w14:textId="1B8CE8AB"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Por medio del cual se expide el Decreto Único Reglamentario del Sector Ambiente y Desarrollo Sostenible</w:t>
            </w:r>
          </w:p>
        </w:tc>
        <w:tc>
          <w:tcPr>
            <w:tcW w:w="5288" w:type="dxa"/>
            <w:shd w:val="clear" w:color="auto" w:fill="EFF5FB"/>
            <w:vAlign w:val="center"/>
          </w:tcPr>
          <w:p w14:paraId="5D2381DE" w14:textId="384AF044"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Compila las disposiciones reglamentarias del Sector Ambiente. Establece la obligación para que en los Planes de Gestión Integral de Residuos Sólidos (PGIRS) se incorporen las acciones necesarias para dar cumplimiento a lo establecido en el plan de acción relativo a residuos sólidos- sin perjuicio de las obligaciones contractuales del operador público, privado o mixto del servicio de aseo, (Articulo 2.2.5.14.1.9).</w:t>
            </w:r>
          </w:p>
        </w:tc>
      </w:tr>
      <w:tr w:rsidR="000C60C8" w:rsidRPr="000C60C8" w14:paraId="0661EA24" w14:textId="77777777" w:rsidTr="00251353">
        <w:tc>
          <w:tcPr>
            <w:tcW w:w="1271" w:type="dxa"/>
            <w:shd w:val="clear" w:color="auto" w:fill="EFF5FB"/>
            <w:vAlign w:val="center"/>
          </w:tcPr>
          <w:p w14:paraId="714A10A7" w14:textId="68DED32B"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Decreto Único Reglamentario 1077 de 2015 Nivel Nacional</w:t>
            </w:r>
          </w:p>
        </w:tc>
        <w:tc>
          <w:tcPr>
            <w:tcW w:w="2693" w:type="dxa"/>
            <w:shd w:val="clear" w:color="auto" w:fill="EFF5FB"/>
            <w:vAlign w:val="center"/>
          </w:tcPr>
          <w:p w14:paraId="416DC2CA" w14:textId="4757F528"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Por medio del cual se expide el Decreto Único Reglamentario del Sector Vivienda, Ciudad y Territorio.</w:t>
            </w:r>
          </w:p>
        </w:tc>
        <w:tc>
          <w:tcPr>
            <w:tcW w:w="5288" w:type="dxa"/>
            <w:shd w:val="clear" w:color="auto" w:fill="EFF5FB"/>
            <w:vAlign w:val="center"/>
          </w:tcPr>
          <w:p w14:paraId="2AD69D6B" w14:textId="1464E5E3"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Compila la normatividad sobe la Gestión Integral de los Residuos Sólidos. Señala que los municipios y distritos deberán elaborar, implementar y mantener actualizado un plan municipal o distrital para la gestión integral de residuos o desechos sólidos en el ámbito local y/o regional según el caso, en el marco de la gestión integral de los residuos. (Artículo 2.3.2.2.3.87 al 2.3.2.2.3.95 ).</w:t>
            </w:r>
          </w:p>
        </w:tc>
      </w:tr>
      <w:tr w:rsidR="000C60C8" w:rsidRPr="000C60C8" w14:paraId="1D23E447" w14:textId="77777777" w:rsidTr="00251353">
        <w:tc>
          <w:tcPr>
            <w:tcW w:w="1271" w:type="dxa"/>
            <w:shd w:val="clear" w:color="auto" w:fill="EFF5FB"/>
            <w:vAlign w:val="center"/>
          </w:tcPr>
          <w:p w14:paraId="12AA4D8A" w14:textId="7DD3ED95"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Resolución 754 de 2014 Ministerio de Vivienda, Ciudad y Territorio</w:t>
            </w:r>
          </w:p>
        </w:tc>
        <w:tc>
          <w:tcPr>
            <w:tcW w:w="2693" w:type="dxa"/>
            <w:shd w:val="clear" w:color="auto" w:fill="EFF5FB"/>
            <w:vAlign w:val="center"/>
          </w:tcPr>
          <w:p w14:paraId="2A6D6E8B" w14:textId="464E6F34"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Por la cual se adopta la metodología para la formulación, implementación, evaluación, seguimiento, control y actualización de los Planes de Gestión Integral de Residuos Sólidos.</w:t>
            </w:r>
          </w:p>
        </w:tc>
        <w:tc>
          <w:tcPr>
            <w:tcW w:w="5288" w:type="dxa"/>
            <w:shd w:val="clear" w:color="auto" w:fill="EFF5FB"/>
            <w:vAlign w:val="center"/>
          </w:tcPr>
          <w:p w14:paraId="433681F1" w14:textId="4A0D0451"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Adopta la metodología para la formulación, implementación, evaluación, seguimiento, control y actualización de los Planes de Gestión Integral de Residuos Sólidos -PGIRS-. Es responsabilidad de los municipios, distritos y esquemas asociativos territoriales, la formulación, implementación, evaluación, seguimiento, control y actualización del PGIRS en el ámbito local o regional, según el caso.</w:t>
            </w:r>
          </w:p>
        </w:tc>
      </w:tr>
      <w:tr w:rsidR="000C60C8" w:rsidRPr="000C60C8" w14:paraId="2B6C690D" w14:textId="77777777" w:rsidTr="00251353">
        <w:tc>
          <w:tcPr>
            <w:tcW w:w="1271" w:type="dxa"/>
            <w:shd w:val="clear" w:color="auto" w:fill="EFF5FB"/>
            <w:vAlign w:val="center"/>
          </w:tcPr>
          <w:p w14:paraId="70BB4A90" w14:textId="11425FD7"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Decreto 495 de 2016 Alcaldía Mayor de Bogotá, D.C.</w:t>
            </w:r>
          </w:p>
        </w:tc>
        <w:tc>
          <w:tcPr>
            <w:tcW w:w="2693" w:type="dxa"/>
            <w:shd w:val="clear" w:color="auto" w:fill="EFF5FB"/>
            <w:vAlign w:val="center"/>
          </w:tcPr>
          <w:p w14:paraId="5C286DBF" w14:textId="3A638715"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Por el cual se adopta el Plan de Gestión Integral de Residuos Sólidos - PGIRS- del Distrito Capital, y se dictan otras disposiciones</w:t>
            </w:r>
          </w:p>
        </w:tc>
        <w:tc>
          <w:tcPr>
            <w:tcW w:w="5288" w:type="dxa"/>
            <w:shd w:val="clear" w:color="auto" w:fill="EFF5FB"/>
            <w:vAlign w:val="center"/>
          </w:tcPr>
          <w:p w14:paraId="160726E9" w14:textId="17421184" w:rsidR="000C60C8" w:rsidRPr="000C60C8" w:rsidRDefault="000C60C8" w:rsidP="000C60C8">
            <w:pPr>
              <w:pStyle w:val="Prrafodelista"/>
              <w:spacing w:after="0" w:line="240" w:lineRule="auto"/>
              <w:ind w:left="0" w:firstLine="0"/>
              <w:jc w:val="both"/>
              <w:rPr>
                <w:rFonts w:ascii="Calibri" w:hAnsi="Calibri"/>
                <w:color w:val="000000"/>
                <w:sz w:val="16"/>
                <w:szCs w:val="16"/>
              </w:rPr>
            </w:pPr>
            <w:r w:rsidRPr="000C60C8">
              <w:rPr>
                <w:rFonts w:ascii="Calibri" w:hAnsi="Calibri"/>
                <w:color w:val="000000"/>
                <w:sz w:val="16"/>
                <w:szCs w:val="16"/>
              </w:rPr>
              <w:t>Adopta el Plan de Gestión Integral de Residuos Sólidos - PGIRS - del Distrito Capital como el instrumento de planeación distrital contentivo de los objetivos, metas, programas, proyectos, actividades y recursos para el manejo de los residuos sólidos, basado en la política de gestión integral de los mismos. La coordinación general del PGIRS está a cargo de la UAESP.</w:t>
            </w:r>
          </w:p>
        </w:tc>
      </w:tr>
    </w:tbl>
    <w:p w14:paraId="376112D6" w14:textId="77777777" w:rsidR="00F56BE0" w:rsidRDefault="00F56BE0" w:rsidP="00251353">
      <w:pPr>
        <w:pBdr>
          <w:top w:val="nil"/>
          <w:left w:val="nil"/>
          <w:bottom w:val="nil"/>
          <w:right w:val="nil"/>
          <w:between w:val="nil"/>
        </w:pBdr>
        <w:spacing w:after="0"/>
        <w:ind w:firstLine="0"/>
        <w:jc w:val="both"/>
        <w:rPr>
          <w:rFonts w:eastAsia="Arial" w:cs="Arial"/>
        </w:rPr>
      </w:pPr>
    </w:p>
    <w:p w14:paraId="50E79887" w14:textId="0698C56A" w:rsidR="006E47CA" w:rsidRPr="006E47CA" w:rsidRDefault="006E47CA" w:rsidP="006E47CA">
      <w:pPr>
        <w:tabs>
          <w:tab w:val="center" w:pos="4844"/>
        </w:tabs>
        <w:rPr>
          <w:rFonts w:eastAsia="Arial" w:cs="Arial"/>
        </w:rPr>
        <w:sectPr w:rsidR="006E47CA" w:rsidRPr="006E47CA" w:rsidSect="00B20FC6">
          <w:headerReference w:type="default" r:id="rId22"/>
          <w:footerReference w:type="default" r:id="rId23"/>
          <w:pgSz w:w="12240" w:h="15840"/>
          <w:pgMar w:top="1418" w:right="1418" w:bottom="1418" w:left="1418" w:header="709" w:footer="709" w:gutter="0"/>
          <w:pgNumType w:start="5"/>
          <w:cols w:space="720"/>
        </w:sectPr>
      </w:pPr>
    </w:p>
    <w:p w14:paraId="71F591AC" w14:textId="2D827EFD" w:rsidR="008C1282" w:rsidRPr="006E47CA" w:rsidRDefault="000F0A35" w:rsidP="00E96915">
      <w:pPr>
        <w:pStyle w:val="Ttulo4"/>
      </w:pPr>
      <w:r w:rsidRPr="006E47CA">
        <w:lastRenderedPageBreak/>
        <w:t>1.4.2.4 Contaminación por ruido.</w:t>
      </w:r>
    </w:p>
    <w:tbl>
      <w:tblPr>
        <w:tblStyle w:val="Tablaconcuadrcula"/>
        <w:tblW w:w="0" w:type="auto"/>
        <w:tblInd w:w="142" w:type="dxa"/>
        <w:tblLook w:val="04A0" w:firstRow="1" w:lastRow="0" w:firstColumn="1" w:lastColumn="0" w:noHBand="0" w:noVBand="1"/>
      </w:tblPr>
      <w:tblGrid>
        <w:gridCol w:w="2405"/>
        <w:gridCol w:w="3118"/>
        <w:gridCol w:w="3729"/>
      </w:tblGrid>
      <w:tr w:rsidR="00A75C30" w14:paraId="714E11FF" w14:textId="77777777" w:rsidTr="00A75C30">
        <w:tc>
          <w:tcPr>
            <w:tcW w:w="2405" w:type="dxa"/>
            <w:shd w:val="clear" w:color="auto" w:fill="8EAADB" w:themeFill="accent1" w:themeFillTint="99"/>
            <w:vAlign w:val="center"/>
          </w:tcPr>
          <w:p w14:paraId="0CC4704B" w14:textId="48B863B3" w:rsidR="00A75C30" w:rsidRDefault="00A75C30" w:rsidP="00A75C30">
            <w:pPr>
              <w:pStyle w:val="Prrafodelista"/>
              <w:spacing w:after="0" w:line="276" w:lineRule="auto"/>
              <w:ind w:left="0" w:firstLine="0"/>
              <w:jc w:val="center"/>
              <w:rPr>
                <w:rFonts w:eastAsia="Arial" w:cs="Arial"/>
                <w:b/>
                <w:bCs/>
              </w:rPr>
            </w:pPr>
            <w:r>
              <w:rPr>
                <w:rFonts w:ascii="Calibri" w:hAnsi="Calibri"/>
                <w:b/>
                <w:bCs/>
                <w:color w:val="000000"/>
                <w:sz w:val="20"/>
                <w:szCs w:val="20"/>
              </w:rPr>
              <w:t>NORMA</w:t>
            </w:r>
          </w:p>
        </w:tc>
        <w:tc>
          <w:tcPr>
            <w:tcW w:w="3118" w:type="dxa"/>
            <w:shd w:val="clear" w:color="auto" w:fill="8EAADB" w:themeFill="accent1" w:themeFillTint="99"/>
            <w:vAlign w:val="center"/>
          </w:tcPr>
          <w:p w14:paraId="67149688" w14:textId="4EA2392E" w:rsidR="00A75C30" w:rsidRDefault="00A75C30" w:rsidP="00A75C30">
            <w:pPr>
              <w:pStyle w:val="Prrafodelista"/>
              <w:spacing w:after="0" w:line="276" w:lineRule="auto"/>
              <w:ind w:left="0" w:firstLine="0"/>
              <w:jc w:val="center"/>
              <w:rPr>
                <w:rFonts w:eastAsia="Arial" w:cs="Arial"/>
                <w:b/>
                <w:bCs/>
              </w:rPr>
            </w:pPr>
            <w:r>
              <w:rPr>
                <w:rFonts w:ascii="Calibri" w:hAnsi="Calibri"/>
                <w:b/>
                <w:bCs/>
                <w:color w:val="000000"/>
                <w:sz w:val="20"/>
                <w:szCs w:val="20"/>
              </w:rPr>
              <w:t>DISPOSICIÓN</w:t>
            </w:r>
          </w:p>
        </w:tc>
        <w:tc>
          <w:tcPr>
            <w:tcW w:w="3729" w:type="dxa"/>
            <w:shd w:val="clear" w:color="auto" w:fill="8EAADB" w:themeFill="accent1" w:themeFillTint="99"/>
            <w:vAlign w:val="center"/>
          </w:tcPr>
          <w:p w14:paraId="1BDFBC78" w14:textId="71026414" w:rsidR="00A75C30" w:rsidRDefault="00A75C30" w:rsidP="00A75C30">
            <w:pPr>
              <w:pStyle w:val="Prrafodelista"/>
              <w:spacing w:after="0" w:line="276" w:lineRule="auto"/>
              <w:ind w:left="0" w:firstLine="0"/>
              <w:jc w:val="center"/>
              <w:rPr>
                <w:rFonts w:eastAsia="Arial" w:cs="Arial"/>
                <w:b/>
                <w:bCs/>
              </w:rPr>
            </w:pPr>
            <w:r>
              <w:rPr>
                <w:rFonts w:ascii="Calibri" w:hAnsi="Calibri"/>
                <w:b/>
                <w:bCs/>
                <w:color w:val="000000"/>
                <w:sz w:val="20"/>
                <w:szCs w:val="20"/>
              </w:rPr>
              <w:t>OBSERVACIONES</w:t>
            </w:r>
          </w:p>
        </w:tc>
      </w:tr>
      <w:tr w:rsidR="00A75C30" w14:paraId="0883F54F" w14:textId="77777777" w:rsidTr="00A75C30">
        <w:tc>
          <w:tcPr>
            <w:tcW w:w="2405" w:type="dxa"/>
            <w:shd w:val="clear" w:color="auto" w:fill="EFF5FB"/>
            <w:vAlign w:val="center"/>
          </w:tcPr>
          <w:p w14:paraId="5B154BA3" w14:textId="03C64F6D" w:rsidR="00A75C30" w:rsidRPr="00A75C30" w:rsidRDefault="00A75C30" w:rsidP="00A75C30">
            <w:pPr>
              <w:pStyle w:val="Prrafodelista"/>
              <w:spacing w:after="0" w:line="276" w:lineRule="auto"/>
              <w:ind w:left="0" w:firstLine="0"/>
              <w:jc w:val="both"/>
              <w:rPr>
                <w:rFonts w:eastAsia="Arial" w:cs="Arial"/>
                <w:b/>
                <w:bCs/>
                <w:lang w:val="es-CO"/>
              </w:rPr>
            </w:pPr>
            <w:r w:rsidRPr="00A75C30">
              <w:rPr>
                <w:rFonts w:ascii="Calibri" w:hAnsi="Calibri"/>
                <w:color w:val="000000"/>
                <w:sz w:val="20"/>
                <w:szCs w:val="20"/>
                <w:lang w:val="es-CO"/>
              </w:rPr>
              <w:t>Resolución 8321 de 1983. Ministerio de Salud</w:t>
            </w:r>
          </w:p>
        </w:tc>
        <w:tc>
          <w:tcPr>
            <w:tcW w:w="3118" w:type="dxa"/>
            <w:shd w:val="clear" w:color="auto" w:fill="EFF5FB"/>
            <w:vAlign w:val="center"/>
          </w:tcPr>
          <w:p w14:paraId="5B038A8C" w14:textId="69E1BB52" w:rsidR="00A75C30" w:rsidRPr="00A75C30" w:rsidRDefault="00A75C30" w:rsidP="00A75C30">
            <w:pPr>
              <w:pStyle w:val="Prrafodelista"/>
              <w:spacing w:after="0" w:line="276" w:lineRule="auto"/>
              <w:ind w:left="0" w:firstLine="0"/>
              <w:jc w:val="both"/>
              <w:rPr>
                <w:rFonts w:eastAsia="Arial" w:cs="Arial"/>
                <w:b/>
                <w:bCs/>
                <w:lang w:val="es-CO"/>
              </w:rPr>
            </w:pPr>
            <w:r w:rsidRPr="00A75C30">
              <w:rPr>
                <w:rFonts w:ascii="Calibri" w:hAnsi="Calibri"/>
                <w:color w:val="000000"/>
                <w:sz w:val="20"/>
                <w:szCs w:val="20"/>
                <w:lang w:val="es-CO"/>
              </w:rPr>
              <w:t>Normas sobre Protección y Conservación de la audición de la salud y el bienestar de las personas, por causa de la producción y emisión de ruidos.</w:t>
            </w:r>
          </w:p>
        </w:tc>
        <w:tc>
          <w:tcPr>
            <w:tcW w:w="3729" w:type="dxa"/>
            <w:shd w:val="clear" w:color="auto" w:fill="EFF5FB"/>
            <w:vAlign w:val="center"/>
          </w:tcPr>
          <w:p w14:paraId="31E71100" w14:textId="34DD63E6" w:rsidR="00A75C30" w:rsidRPr="00A75C30" w:rsidRDefault="00A75C30" w:rsidP="00A75C30">
            <w:pPr>
              <w:pStyle w:val="Prrafodelista"/>
              <w:spacing w:after="0" w:line="276" w:lineRule="auto"/>
              <w:ind w:left="0" w:firstLine="0"/>
              <w:jc w:val="both"/>
              <w:rPr>
                <w:rFonts w:eastAsia="Arial" w:cs="Arial"/>
                <w:b/>
                <w:bCs/>
                <w:lang w:val="es-CO"/>
              </w:rPr>
            </w:pPr>
            <w:r w:rsidRPr="00A75C30">
              <w:rPr>
                <w:rFonts w:ascii="Calibri" w:hAnsi="Calibri"/>
                <w:color w:val="000000"/>
                <w:sz w:val="20"/>
                <w:szCs w:val="20"/>
                <w:lang w:val="es-CO"/>
              </w:rPr>
              <w:t>Establece la definición de contaminación por ruido continuo, ruido impulsivo, métodos de medición de ruido. También dicta normas generales de emisión de ruido para fuentes emisoras.</w:t>
            </w:r>
          </w:p>
        </w:tc>
      </w:tr>
      <w:tr w:rsidR="00A75C30" w14:paraId="12398908" w14:textId="77777777" w:rsidTr="00A75C30">
        <w:tc>
          <w:tcPr>
            <w:tcW w:w="2405" w:type="dxa"/>
            <w:shd w:val="clear" w:color="auto" w:fill="EFF5FB"/>
            <w:vAlign w:val="center"/>
          </w:tcPr>
          <w:p w14:paraId="4966960A" w14:textId="02581BE4" w:rsidR="00A75C30" w:rsidRPr="00A75C30" w:rsidRDefault="00A75C30" w:rsidP="00A75C30">
            <w:pPr>
              <w:pStyle w:val="Prrafodelista"/>
              <w:spacing w:after="0" w:line="276" w:lineRule="auto"/>
              <w:ind w:left="0" w:firstLine="0"/>
              <w:jc w:val="both"/>
              <w:rPr>
                <w:rFonts w:eastAsia="Arial" w:cs="Arial"/>
                <w:b/>
                <w:bCs/>
                <w:lang w:val="es-CO"/>
              </w:rPr>
            </w:pPr>
            <w:r w:rsidRPr="00A75C30">
              <w:rPr>
                <w:rFonts w:ascii="Calibri" w:hAnsi="Calibri"/>
                <w:color w:val="000000"/>
                <w:sz w:val="20"/>
                <w:szCs w:val="20"/>
                <w:lang w:val="es-CO"/>
              </w:rPr>
              <w:t>Resolución 1792 de 1990 Ministerio del Trabajo</w:t>
            </w:r>
          </w:p>
        </w:tc>
        <w:tc>
          <w:tcPr>
            <w:tcW w:w="3118" w:type="dxa"/>
            <w:shd w:val="clear" w:color="auto" w:fill="EFF5FB"/>
            <w:vAlign w:val="center"/>
          </w:tcPr>
          <w:p w14:paraId="7F96DC44" w14:textId="09329DF2" w:rsidR="00A75C30" w:rsidRPr="00A75C30" w:rsidRDefault="00A75C30" w:rsidP="00A75C30">
            <w:pPr>
              <w:pStyle w:val="Prrafodelista"/>
              <w:spacing w:after="0" w:line="276" w:lineRule="auto"/>
              <w:ind w:left="0" w:firstLine="0"/>
              <w:jc w:val="both"/>
              <w:rPr>
                <w:rFonts w:eastAsia="Arial" w:cs="Arial"/>
                <w:b/>
                <w:bCs/>
                <w:lang w:val="es-CO"/>
              </w:rPr>
            </w:pPr>
            <w:r w:rsidRPr="00A75C30">
              <w:rPr>
                <w:rFonts w:ascii="Calibri" w:hAnsi="Calibri"/>
                <w:color w:val="000000"/>
                <w:sz w:val="20"/>
                <w:szCs w:val="20"/>
                <w:lang w:val="es-CO"/>
              </w:rPr>
              <w:t>Por la cual se adoptan valores límites permisibles para la exposición ocupacional al ruido</w:t>
            </w:r>
          </w:p>
        </w:tc>
        <w:tc>
          <w:tcPr>
            <w:tcW w:w="3729" w:type="dxa"/>
            <w:shd w:val="clear" w:color="auto" w:fill="EFF5FB"/>
            <w:vAlign w:val="center"/>
          </w:tcPr>
          <w:p w14:paraId="598D065A" w14:textId="75E21585" w:rsidR="00A75C30" w:rsidRPr="00A75C30" w:rsidRDefault="00A75C30" w:rsidP="00A75C30">
            <w:pPr>
              <w:pStyle w:val="Prrafodelista"/>
              <w:spacing w:after="0" w:line="276" w:lineRule="auto"/>
              <w:ind w:left="0" w:firstLine="0"/>
              <w:jc w:val="both"/>
              <w:rPr>
                <w:rFonts w:eastAsia="Arial" w:cs="Arial"/>
                <w:b/>
                <w:bCs/>
                <w:lang w:val="es-CO"/>
              </w:rPr>
            </w:pPr>
            <w:r w:rsidRPr="00A75C30">
              <w:rPr>
                <w:rFonts w:ascii="Calibri" w:hAnsi="Calibri"/>
                <w:color w:val="000000"/>
                <w:sz w:val="20"/>
                <w:szCs w:val="20"/>
                <w:lang w:val="es-CO"/>
              </w:rPr>
              <w:t>Adopta y unifica valores límites permisibles para la exposición ocupacional al ruido, para su correcta aplicación en todo el territorio nacional.</w:t>
            </w:r>
          </w:p>
        </w:tc>
      </w:tr>
      <w:tr w:rsidR="00A75C30" w14:paraId="60EF1BAF" w14:textId="77777777" w:rsidTr="00A75C30">
        <w:tc>
          <w:tcPr>
            <w:tcW w:w="2405" w:type="dxa"/>
            <w:shd w:val="clear" w:color="auto" w:fill="EFF5FB"/>
            <w:vAlign w:val="center"/>
          </w:tcPr>
          <w:p w14:paraId="444AC5AF" w14:textId="7D608085" w:rsidR="00A75C30" w:rsidRPr="00A75C30" w:rsidRDefault="00A75C30" w:rsidP="00A75C30">
            <w:pPr>
              <w:pStyle w:val="Prrafodelista"/>
              <w:spacing w:after="0" w:line="276" w:lineRule="auto"/>
              <w:ind w:left="0" w:firstLine="0"/>
              <w:jc w:val="both"/>
              <w:rPr>
                <w:rFonts w:eastAsia="Arial" w:cs="Arial"/>
                <w:b/>
                <w:bCs/>
                <w:lang w:val="es-CO"/>
              </w:rPr>
            </w:pPr>
            <w:r w:rsidRPr="00A75C30">
              <w:rPr>
                <w:rFonts w:ascii="Calibri" w:hAnsi="Calibri"/>
                <w:color w:val="000000"/>
                <w:sz w:val="20"/>
                <w:szCs w:val="20"/>
                <w:lang w:val="es-CO"/>
              </w:rPr>
              <w:t>Resolución 832 de 2000 DAMA</w:t>
            </w:r>
          </w:p>
        </w:tc>
        <w:tc>
          <w:tcPr>
            <w:tcW w:w="3118" w:type="dxa"/>
            <w:shd w:val="clear" w:color="auto" w:fill="EFF5FB"/>
            <w:vAlign w:val="center"/>
          </w:tcPr>
          <w:p w14:paraId="038E92E2" w14:textId="7A2F70EA" w:rsidR="00A75C30" w:rsidRPr="00A75C30" w:rsidRDefault="00A75C30" w:rsidP="00A75C30">
            <w:pPr>
              <w:pStyle w:val="Prrafodelista"/>
              <w:spacing w:after="0" w:line="276" w:lineRule="auto"/>
              <w:ind w:left="0" w:firstLine="0"/>
              <w:jc w:val="both"/>
              <w:rPr>
                <w:rFonts w:eastAsia="Arial" w:cs="Arial"/>
                <w:b/>
                <w:bCs/>
                <w:lang w:val="es-CO"/>
              </w:rPr>
            </w:pPr>
            <w:r w:rsidRPr="00A75C30">
              <w:rPr>
                <w:rFonts w:ascii="Calibri" w:hAnsi="Calibri"/>
                <w:color w:val="000000"/>
                <w:sz w:val="20"/>
                <w:szCs w:val="20"/>
                <w:lang w:val="es-CO"/>
              </w:rPr>
              <w:t>Adopta el sistema de clasificación empresarial por el impacto sonoro sobre el componente atmosférico de contaminación por ruido.</w:t>
            </w:r>
          </w:p>
        </w:tc>
        <w:tc>
          <w:tcPr>
            <w:tcW w:w="3729" w:type="dxa"/>
            <w:shd w:val="clear" w:color="auto" w:fill="EFF5FB"/>
            <w:vAlign w:val="center"/>
          </w:tcPr>
          <w:p w14:paraId="0FA5A672" w14:textId="090BB1EE" w:rsidR="00A75C30" w:rsidRPr="00A75C30" w:rsidRDefault="00A75C30" w:rsidP="00A75C30">
            <w:pPr>
              <w:pStyle w:val="Prrafodelista"/>
              <w:spacing w:after="0" w:line="276" w:lineRule="auto"/>
              <w:ind w:left="0" w:firstLine="0"/>
              <w:jc w:val="both"/>
              <w:rPr>
                <w:rFonts w:eastAsia="Arial" w:cs="Arial"/>
                <w:b/>
                <w:bCs/>
                <w:lang w:val="es-CO"/>
              </w:rPr>
            </w:pPr>
            <w:r w:rsidRPr="00A75C30">
              <w:rPr>
                <w:rFonts w:ascii="Calibri" w:hAnsi="Calibri"/>
                <w:color w:val="000000"/>
                <w:sz w:val="20"/>
                <w:szCs w:val="20"/>
                <w:lang w:val="es-CO"/>
              </w:rPr>
              <w:t>Instituye el sistema de clasificación de los usuarios empresariales por unidades de contaminación por ruido, y la clasificación de impacto por nivel de intensidad sonora de una fuente fija industrial.</w:t>
            </w:r>
          </w:p>
        </w:tc>
      </w:tr>
      <w:tr w:rsidR="00A75C30" w14:paraId="4C719274" w14:textId="77777777" w:rsidTr="00A75C30">
        <w:tc>
          <w:tcPr>
            <w:tcW w:w="2405" w:type="dxa"/>
            <w:shd w:val="clear" w:color="auto" w:fill="EFF5FB"/>
            <w:vAlign w:val="center"/>
          </w:tcPr>
          <w:p w14:paraId="5005F239" w14:textId="0D1AF67C" w:rsidR="00A75C30" w:rsidRPr="00A75C30" w:rsidRDefault="00A75C30" w:rsidP="00A75C30">
            <w:pPr>
              <w:pStyle w:val="Prrafodelista"/>
              <w:spacing w:after="0" w:line="276" w:lineRule="auto"/>
              <w:ind w:left="0" w:firstLine="0"/>
              <w:jc w:val="both"/>
              <w:rPr>
                <w:rFonts w:eastAsia="Arial" w:cs="Arial"/>
                <w:b/>
                <w:bCs/>
                <w:lang w:val="es-CO"/>
              </w:rPr>
            </w:pPr>
            <w:r w:rsidRPr="00A75C30">
              <w:rPr>
                <w:rFonts w:ascii="Calibri" w:hAnsi="Calibri"/>
                <w:color w:val="000000"/>
                <w:sz w:val="20"/>
                <w:szCs w:val="20"/>
                <w:lang w:val="es-CO"/>
              </w:rPr>
              <w:t>Acuerdo 79 de 2003. Código de policía.</w:t>
            </w:r>
          </w:p>
        </w:tc>
        <w:tc>
          <w:tcPr>
            <w:tcW w:w="3118" w:type="dxa"/>
            <w:shd w:val="clear" w:color="auto" w:fill="EFF5FB"/>
            <w:vAlign w:val="center"/>
          </w:tcPr>
          <w:p w14:paraId="0F2A52E5" w14:textId="72E49C72" w:rsidR="00A75C30" w:rsidRPr="00A75C30" w:rsidRDefault="00A75C30" w:rsidP="00A75C30">
            <w:pPr>
              <w:pStyle w:val="Prrafodelista"/>
              <w:spacing w:after="0" w:line="276" w:lineRule="auto"/>
              <w:ind w:left="0" w:firstLine="0"/>
              <w:jc w:val="both"/>
              <w:rPr>
                <w:rFonts w:eastAsia="Arial" w:cs="Arial"/>
                <w:b/>
                <w:bCs/>
                <w:lang w:val="es-CO"/>
              </w:rPr>
            </w:pPr>
            <w:r w:rsidRPr="00A75C30">
              <w:rPr>
                <w:rFonts w:ascii="Calibri" w:hAnsi="Calibri"/>
                <w:color w:val="000000"/>
                <w:sz w:val="20"/>
                <w:szCs w:val="20"/>
                <w:lang w:val="es-CO"/>
              </w:rPr>
              <w:t>Artículo 82</w:t>
            </w:r>
          </w:p>
        </w:tc>
        <w:tc>
          <w:tcPr>
            <w:tcW w:w="3729" w:type="dxa"/>
            <w:shd w:val="clear" w:color="auto" w:fill="EFF5FB"/>
            <w:vAlign w:val="center"/>
          </w:tcPr>
          <w:p w14:paraId="65BADB07" w14:textId="5BEDD701" w:rsidR="00A75C30" w:rsidRPr="00A75C30" w:rsidRDefault="00A75C30" w:rsidP="00A75C30">
            <w:pPr>
              <w:pStyle w:val="Prrafodelista"/>
              <w:spacing w:after="0" w:line="276" w:lineRule="auto"/>
              <w:ind w:left="0" w:firstLine="0"/>
              <w:jc w:val="both"/>
              <w:rPr>
                <w:rFonts w:eastAsia="Arial" w:cs="Arial"/>
                <w:b/>
                <w:bCs/>
                <w:lang w:val="es-CO"/>
              </w:rPr>
            </w:pPr>
            <w:r w:rsidRPr="00A75C30">
              <w:rPr>
                <w:rFonts w:ascii="Calibri" w:hAnsi="Calibri"/>
                <w:color w:val="000000"/>
                <w:sz w:val="20"/>
                <w:szCs w:val="20"/>
                <w:lang w:val="es-CO"/>
              </w:rPr>
              <w:t>Comportamientos en relación con la contaminación auditiva y sonora, define la contaminación auditiva y sonora como nociva para la salud, perturbadora de la convivencia ciudadana y afecta del disfrute del espacio público.</w:t>
            </w:r>
          </w:p>
        </w:tc>
      </w:tr>
      <w:tr w:rsidR="00A75C30" w14:paraId="4835FCE0" w14:textId="77777777" w:rsidTr="00A75C30">
        <w:tc>
          <w:tcPr>
            <w:tcW w:w="2405" w:type="dxa"/>
            <w:shd w:val="clear" w:color="auto" w:fill="EFF5FB"/>
            <w:vAlign w:val="center"/>
          </w:tcPr>
          <w:p w14:paraId="3C0C5018" w14:textId="4A8A76C9" w:rsidR="00A75C30" w:rsidRPr="00A75C30" w:rsidRDefault="00A75C30" w:rsidP="00A75C30">
            <w:pPr>
              <w:pStyle w:val="Prrafodelista"/>
              <w:spacing w:after="0" w:line="276" w:lineRule="auto"/>
              <w:ind w:left="0" w:firstLine="0"/>
              <w:jc w:val="both"/>
              <w:rPr>
                <w:rFonts w:eastAsia="Arial" w:cs="Arial"/>
                <w:b/>
                <w:bCs/>
                <w:lang w:val="es-CO"/>
              </w:rPr>
            </w:pPr>
            <w:r w:rsidRPr="00A75C30">
              <w:rPr>
                <w:rFonts w:ascii="Calibri" w:hAnsi="Calibri"/>
                <w:color w:val="000000"/>
                <w:sz w:val="20"/>
                <w:szCs w:val="20"/>
                <w:lang w:val="es-CO"/>
              </w:rPr>
              <w:t>Resolución 627 de 2006 Ministerio de Ambiente, Vivienda y Desarrollo Territorial</w:t>
            </w:r>
          </w:p>
        </w:tc>
        <w:tc>
          <w:tcPr>
            <w:tcW w:w="3118" w:type="dxa"/>
            <w:shd w:val="clear" w:color="auto" w:fill="EFF5FB"/>
            <w:vAlign w:val="center"/>
          </w:tcPr>
          <w:p w14:paraId="3F698E66" w14:textId="3CFBE253" w:rsidR="00A75C30" w:rsidRPr="00A75C30" w:rsidRDefault="00A75C30" w:rsidP="00A75C30">
            <w:pPr>
              <w:pStyle w:val="Prrafodelista"/>
              <w:spacing w:after="0" w:line="276" w:lineRule="auto"/>
              <w:ind w:left="0" w:firstLine="0"/>
              <w:jc w:val="both"/>
              <w:rPr>
                <w:rFonts w:eastAsia="Arial" w:cs="Arial"/>
                <w:b/>
                <w:bCs/>
                <w:lang w:val="es-CO"/>
              </w:rPr>
            </w:pPr>
            <w:r w:rsidRPr="00A75C30">
              <w:rPr>
                <w:rFonts w:ascii="Calibri" w:hAnsi="Calibri"/>
                <w:color w:val="000000"/>
                <w:sz w:val="20"/>
                <w:szCs w:val="20"/>
                <w:lang w:val="es-CO"/>
              </w:rPr>
              <w:t>Por la cual se establece la norma nacional de emisión de ruido y ruido ambiental.</w:t>
            </w:r>
          </w:p>
        </w:tc>
        <w:tc>
          <w:tcPr>
            <w:tcW w:w="3729" w:type="dxa"/>
            <w:shd w:val="clear" w:color="auto" w:fill="EFF5FB"/>
            <w:vAlign w:val="center"/>
          </w:tcPr>
          <w:p w14:paraId="4F88A530" w14:textId="262653CF" w:rsidR="00A75C30" w:rsidRPr="00A75C30" w:rsidRDefault="00A75C30" w:rsidP="00A75C30">
            <w:pPr>
              <w:pStyle w:val="Prrafodelista"/>
              <w:spacing w:after="0" w:line="276" w:lineRule="auto"/>
              <w:ind w:left="0" w:firstLine="0"/>
              <w:jc w:val="both"/>
              <w:rPr>
                <w:rFonts w:eastAsia="Arial" w:cs="Arial"/>
                <w:b/>
                <w:bCs/>
                <w:lang w:val="es-CO"/>
              </w:rPr>
            </w:pPr>
            <w:r w:rsidRPr="00A75C30">
              <w:rPr>
                <w:rFonts w:ascii="Calibri" w:hAnsi="Calibri"/>
                <w:color w:val="000000"/>
                <w:sz w:val="20"/>
                <w:szCs w:val="20"/>
                <w:lang w:val="es-CO"/>
              </w:rPr>
              <w:t>Fija para todo el territorio nacional, la norma nacional de emisión de ruido y norma de ruido ambiental.</w:t>
            </w:r>
          </w:p>
        </w:tc>
      </w:tr>
      <w:tr w:rsidR="00A75C30" w14:paraId="564E909D" w14:textId="77777777" w:rsidTr="00A75C30">
        <w:tc>
          <w:tcPr>
            <w:tcW w:w="2405" w:type="dxa"/>
            <w:shd w:val="clear" w:color="auto" w:fill="EFF5FB"/>
            <w:vAlign w:val="center"/>
          </w:tcPr>
          <w:p w14:paraId="5A33006E" w14:textId="2769F4E2" w:rsidR="00A75C30" w:rsidRPr="00A75C30" w:rsidRDefault="00A75C30" w:rsidP="00A75C30">
            <w:pPr>
              <w:pStyle w:val="Prrafodelista"/>
              <w:spacing w:after="0" w:line="276" w:lineRule="auto"/>
              <w:ind w:left="0" w:firstLine="0"/>
              <w:jc w:val="both"/>
              <w:rPr>
                <w:rFonts w:eastAsia="Arial" w:cs="Arial"/>
                <w:b/>
                <w:bCs/>
                <w:lang w:val="es-CO"/>
              </w:rPr>
            </w:pPr>
            <w:r w:rsidRPr="00A75C30">
              <w:rPr>
                <w:rFonts w:ascii="Calibri" w:hAnsi="Calibri"/>
                <w:color w:val="000000"/>
                <w:sz w:val="20"/>
                <w:szCs w:val="20"/>
                <w:lang w:val="es-CO"/>
              </w:rPr>
              <w:t>Resolución 6918 de 2010 Secretaría Distrital de Ambiente</w:t>
            </w:r>
          </w:p>
        </w:tc>
        <w:tc>
          <w:tcPr>
            <w:tcW w:w="3118" w:type="dxa"/>
            <w:shd w:val="clear" w:color="auto" w:fill="EFF5FB"/>
            <w:vAlign w:val="center"/>
          </w:tcPr>
          <w:p w14:paraId="71A45ABE" w14:textId="26E43CEC" w:rsidR="00A75C30" w:rsidRPr="00A75C30" w:rsidRDefault="00A75C30" w:rsidP="00A75C30">
            <w:pPr>
              <w:pStyle w:val="Prrafodelista"/>
              <w:spacing w:after="0" w:line="276" w:lineRule="auto"/>
              <w:ind w:left="0" w:firstLine="0"/>
              <w:jc w:val="both"/>
              <w:rPr>
                <w:rFonts w:eastAsia="Arial" w:cs="Arial"/>
                <w:b/>
                <w:bCs/>
                <w:lang w:val="es-CO"/>
              </w:rPr>
            </w:pPr>
            <w:r w:rsidRPr="00A75C30">
              <w:rPr>
                <w:rFonts w:ascii="Calibri" w:hAnsi="Calibri"/>
                <w:color w:val="000000"/>
                <w:sz w:val="20"/>
                <w:szCs w:val="20"/>
                <w:lang w:val="es-CO"/>
              </w:rPr>
              <w:t>Por la cual se establece la metodología de medición y se fijan los niveles de ruido al interior de las edificaciones (inmisión) generados por la incidencia de fuentes fijas de ruido.</w:t>
            </w:r>
          </w:p>
        </w:tc>
        <w:tc>
          <w:tcPr>
            <w:tcW w:w="3729" w:type="dxa"/>
            <w:shd w:val="clear" w:color="auto" w:fill="EFF5FB"/>
            <w:vAlign w:val="center"/>
          </w:tcPr>
          <w:p w14:paraId="493A229C" w14:textId="1D01F3C4" w:rsidR="00A75C30" w:rsidRPr="00A75C30" w:rsidRDefault="00A75C30" w:rsidP="00A75C30">
            <w:pPr>
              <w:pStyle w:val="Prrafodelista"/>
              <w:spacing w:after="0" w:line="276" w:lineRule="auto"/>
              <w:ind w:left="0" w:firstLine="0"/>
              <w:jc w:val="both"/>
              <w:rPr>
                <w:rFonts w:eastAsia="Arial" w:cs="Arial"/>
                <w:b/>
                <w:bCs/>
                <w:lang w:val="es-CO"/>
              </w:rPr>
            </w:pPr>
            <w:r w:rsidRPr="00A75C30">
              <w:rPr>
                <w:rFonts w:ascii="Calibri" w:hAnsi="Calibri"/>
                <w:color w:val="000000"/>
                <w:sz w:val="20"/>
                <w:szCs w:val="20"/>
                <w:lang w:val="es-CO"/>
              </w:rPr>
              <w:t>Establece el procedimiento técnico y metodológico de evaluación y fija los niveles de ruido; con el fin de prevenir, mitigar y controlar los efectos del ruido en la población expuesta al mismo al interior de las edificaciones debido a la incidencia externa o interna de sus fuentes fijas, de ruido.</w:t>
            </w:r>
            <w:r w:rsidRPr="00A75C30">
              <w:rPr>
                <w:rFonts w:ascii="Calibri" w:hAnsi="Calibri"/>
                <w:color w:val="000000"/>
                <w:sz w:val="20"/>
                <w:szCs w:val="20"/>
                <w:lang w:val="es-CO"/>
              </w:rPr>
              <w:br/>
              <w:t xml:space="preserve"> </w:t>
            </w:r>
          </w:p>
        </w:tc>
      </w:tr>
      <w:tr w:rsidR="00A75C30" w14:paraId="75708375" w14:textId="77777777" w:rsidTr="00A75C30">
        <w:tc>
          <w:tcPr>
            <w:tcW w:w="2405" w:type="dxa"/>
            <w:shd w:val="clear" w:color="auto" w:fill="EFF5FB"/>
            <w:vAlign w:val="center"/>
          </w:tcPr>
          <w:p w14:paraId="1F0EBDFD" w14:textId="58B774AA" w:rsidR="00A75C30" w:rsidRPr="00A75C30" w:rsidRDefault="00A75C30" w:rsidP="00A75C30">
            <w:pPr>
              <w:pStyle w:val="Prrafodelista"/>
              <w:spacing w:after="0" w:line="276" w:lineRule="auto"/>
              <w:ind w:left="0" w:firstLine="0"/>
              <w:jc w:val="both"/>
              <w:rPr>
                <w:rFonts w:eastAsia="Arial" w:cs="Arial"/>
                <w:b/>
                <w:bCs/>
                <w:lang w:val="es-CO"/>
              </w:rPr>
            </w:pPr>
            <w:r w:rsidRPr="00A75C30">
              <w:rPr>
                <w:rFonts w:ascii="Calibri" w:hAnsi="Calibri"/>
                <w:color w:val="000000"/>
                <w:sz w:val="20"/>
                <w:szCs w:val="20"/>
                <w:lang w:val="es-CO"/>
              </w:rPr>
              <w:t xml:space="preserve">  Decreto</w:t>
            </w:r>
            <w:r>
              <w:rPr>
                <w:rFonts w:ascii="Calibri" w:hAnsi="Calibri"/>
                <w:color w:val="000000"/>
                <w:sz w:val="20"/>
                <w:szCs w:val="20"/>
                <w:lang w:val="es-CO"/>
              </w:rPr>
              <w:t xml:space="preserve"> </w:t>
            </w:r>
            <w:r w:rsidRPr="00A75C30">
              <w:rPr>
                <w:rFonts w:ascii="Calibri" w:hAnsi="Calibri"/>
                <w:color w:val="000000"/>
                <w:sz w:val="20"/>
                <w:szCs w:val="20"/>
                <w:lang w:val="es-CO"/>
              </w:rPr>
              <w:t>Único Reglamentario 1076 de 2015 Nivel Nacional</w:t>
            </w:r>
          </w:p>
        </w:tc>
        <w:tc>
          <w:tcPr>
            <w:tcW w:w="3118" w:type="dxa"/>
            <w:shd w:val="clear" w:color="auto" w:fill="EFF5FB"/>
            <w:vAlign w:val="center"/>
          </w:tcPr>
          <w:p w14:paraId="139B5C6B" w14:textId="3EB09B5D" w:rsidR="00A75C30" w:rsidRPr="00A75C30" w:rsidRDefault="00A75C30" w:rsidP="00A75C30">
            <w:pPr>
              <w:pStyle w:val="Prrafodelista"/>
              <w:spacing w:after="0" w:line="276" w:lineRule="auto"/>
              <w:ind w:left="0" w:firstLine="0"/>
              <w:jc w:val="both"/>
              <w:rPr>
                <w:rFonts w:eastAsia="Arial" w:cs="Arial"/>
                <w:b/>
                <w:bCs/>
                <w:lang w:val="es-CO"/>
              </w:rPr>
            </w:pPr>
            <w:r w:rsidRPr="00A75C30">
              <w:rPr>
                <w:rFonts w:ascii="Calibri" w:hAnsi="Calibri"/>
                <w:color w:val="000000"/>
                <w:sz w:val="20"/>
                <w:szCs w:val="20"/>
                <w:lang w:val="es-CO"/>
              </w:rPr>
              <w:t>Por medio del cual se expide el Decreto Único Reglamentario del Sector Ambiente y Desarrollo Sostenible.</w:t>
            </w:r>
          </w:p>
        </w:tc>
        <w:tc>
          <w:tcPr>
            <w:tcW w:w="3729" w:type="dxa"/>
            <w:shd w:val="clear" w:color="auto" w:fill="EFF5FB"/>
            <w:vAlign w:val="center"/>
          </w:tcPr>
          <w:p w14:paraId="4A352F9D" w14:textId="18450AD7" w:rsidR="00A75C30" w:rsidRPr="00A75C30" w:rsidRDefault="00A75C30" w:rsidP="00A75C30">
            <w:pPr>
              <w:pStyle w:val="Prrafodelista"/>
              <w:spacing w:after="0" w:line="276" w:lineRule="auto"/>
              <w:ind w:left="0" w:firstLine="0"/>
              <w:jc w:val="both"/>
              <w:rPr>
                <w:rFonts w:eastAsia="Arial" w:cs="Arial"/>
                <w:b/>
                <w:bCs/>
                <w:lang w:val="es-CO"/>
              </w:rPr>
            </w:pPr>
            <w:r w:rsidRPr="00A75C30">
              <w:rPr>
                <w:rFonts w:ascii="Calibri" w:hAnsi="Calibri"/>
                <w:color w:val="000000"/>
                <w:sz w:val="20"/>
                <w:szCs w:val="20"/>
                <w:lang w:val="es-CO"/>
              </w:rPr>
              <w:t>Compila las disposiciones reglamentarias del Sector Ambiente. Reglamenta el control a emisiones de ruidos, las funciones de las autoridades ambientales en relación con la calidad y el control de la contaminación del aire, (Artículos 2.2.5.1.6.1. al 2.2.5.1.6.5).</w:t>
            </w:r>
          </w:p>
        </w:tc>
      </w:tr>
    </w:tbl>
    <w:p w14:paraId="024E7F43" w14:textId="77777777" w:rsidR="00A75C30" w:rsidRDefault="00A75C30" w:rsidP="00271C6F">
      <w:pPr>
        <w:pStyle w:val="Prrafodelista"/>
        <w:pBdr>
          <w:top w:val="nil"/>
          <w:left w:val="nil"/>
          <w:bottom w:val="nil"/>
          <w:right w:val="nil"/>
          <w:between w:val="nil"/>
        </w:pBdr>
        <w:spacing w:after="0"/>
        <w:ind w:left="142" w:firstLine="0"/>
        <w:jc w:val="both"/>
        <w:rPr>
          <w:rFonts w:eastAsia="Arial" w:cs="Arial"/>
          <w:b/>
          <w:bCs/>
        </w:rPr>
      </w:pPr>
    </w:p>
    <w:p w14:paraId="0CED8E4C" w14:textId="1CBB6823" w:rsidR="00271C6F" w:rsidRDefault="00271C6F" w:rsidP="00271C6F">
      <w:pPr>
        <w:pStyle w:val="Prrafodelista"/>
        <w:pBdr>
          <w:top w:val="nil"/>
          <w:left w:val="nil"/>
          <w:bottom w:val="nil"/>
          <w:right w:val="nil"/>
          <w:between w:val="nil"/>
        </w:pBdr>
        <w:spacing w:after="0"/>
        <w:ind w:left="142" w:firstLine="0"/>
        <w:jc w:val="center"/>
        <w:rPr>
          <w:rFonts w:eastAsia="Arial" w:cs="Arial"/>
          <w:b/>
          <w:bCs/>
        </w:rPr>
      </w:pPr>
    </w:p>
    <w:p w14:paraId="5C96DA1C" w14:textId="77777777" w:rsidR="00251353" w:rsidRDefault="00251353" w:rsidP="00271C6F">
      <w:pPr>
        <w:pStyle w:val="Prrafodelista"/>
        <w:pBdr>
          <w:top w:val="nil"/>
          <w:left w:val="nil"/>
          <w:bottom w:val="nil"/>
          <w:right w:val="nil"/>
          <w:between w:val="nil"/>
        </w:pBdr>
        <w:spacing w:after="0"/>
        <w:ind w:left="142" w:firstLine="0"/>
        <w:jc w:val="center"/>
        <w:rPr>
          <w:rFonts w:eastAsia="Arial" w:cs="Arial"/>
          <w:b/>
          <w:bCs/>
        </w:rPr>
      </w:pPr>
    </w:p>
    <w:p w14:paraId="2FC82D6A" w14:textId="03B1BEA0" w:rsidR="0073456D" w:rsidRDefault="0073456D" w:rsidP="00E96915">
      <w:pPr>
        <w:pStyle w:val="Ttulo4"/>
      </w:pPr>
      <w:r w:rsidRPr="00066F0C">
        <w:lastRenderedPageBreak/>
        <w:t>1.4.2.4 Contaminación visual.</w:t>
      </w:r>
      <w:r w:rsidR="008C1282">
        <w:t xml:space="preserve"> </w:t>
      </w:r>
    </w:p>
    <w:tbl>
      <w:tblPr>
        <w:tblStyle w:val="Tablaconcuadrcula"/>
        <w:tblW w:w="0" w:type="auto"/>
        <w:tblInd w:w="142" w:type="dxa"/>
        <w:tblLook w:val="04A0" w:firstRow="1" w:lastRow="0" w:firstColumn="1" w:lastColumn="0" w:noHBand="0" w:noVBand="1"/>
      </w:tblPr>
      <w:tblGrid>
        <w:gridCol w:w="2121"/>
        <w:gridCol w:w="2835"/>
        <w:gridCol w:w="4296"/>
      </w:tblGrid>
      <w:tr w:rsidR="00251353" w14:paraId="7480EA70" w14:textId="77777777" w:rsidTr="00251353">
        <w:trPr>
          <w:trHeight w:val="364"/>
        </w:trPr>
        <w:tc>
          <w:tcPr>
            <w:tcW w:w="2121" w:type="dxa"/>
            <w:shd w:val="clear" w:color="auto" w:fill="8EAADB" w:themeFill="accent1" w:themeFillTint="99"/>
            <w:vAlign w:val="center"/>
          </w:tcPr>
          <w:p w14:paraId="7BA2B301" w14:textId="5A7F896A" w:rsidR="00251353" w:rsidRDefault="00251353" w:rsidP="00251353">
            <w:pPr>
              <w:pStyle w:val="Prrafodelista"/>
              <w:spacing w:after="0" w:line="240" w:lineRule="auto"/>
              <w:ind w:left="0" w:firstLine="0"/>
              <w:jc w:val="center"/>
              <w:rPr>
                <w:rFonts w:eastAsia="Arial" w:cs="Arial"/>
                <w:b/>
                <w:bCs/>
              </w:rPr>
            </w:pPr>
            <w:r>
              <w:rPr>
                <w:rFonts w:ascii="Calibri" w:hAnsi="Calibri"/>
                <w:b/>
                <w:bCs/>
                <w:color w:val="000000"/>
                <w:sz w:val="20"/>
                <w:szCs w:val="20"/>
              </w:rPr>
              <w:t>NORMA</w:t>
            </w:r>
          </w:p>
        </w:tc>
        <w:tc>
          <w:tcPr>
            <w:tcW w:w="2835" w:type="dxa"/>
            <w:shd w:val="clear" w:color="auto" w:fill="8EAADB" w:themeFill="accent1" w:themeFillTint="99"/>
            <w:vAlign w:val="center"/>
          </w:tcPr>
          <w:p w14:paraId="2BBA3A01" w14:textId="69C79DBE" w:rsidR="00251353" w:rsidRDefault="00251353" w:rsidP="00251353">
            <w:pPr>
              <w:pStyle w:val="Prrafodelista"/>
              <w:spacing w:after="0" w:line="240" w:lineRule="auto"/>
              <w:ind w:left="0" w:firstLine="0"/>
              <w:jc w:val="center"/>
              <w:rPr>
                <w:rFonts w:eastAsia="Arial" w:cs="Arial"/>
                <w:b/>
                <w:bCs/>
              </w:rPr>
            </w:pPr>
            <w:r>
              <w:rPr>
                <w:rFonts w:ascii="Calibri" w:hAnsi="Calibri"/>
                <w:b/>
                <w:bCs/>
                <w:color w:val="000000"/>
                <w:sz w:val="20"/>
                <w:szCs w:val="20"/>
              </w:rPr>
              <w:t xml:space="preserve">DISPOSICIÓN </w:t>
            </w:r>
          </w:p>
        </w:tc>
        <w:tc>
          <w:tcPr>
            <w:tcW w:w="4296" w:type="dxa"/>
            <w:shd w:val="clear" w:color="auto" w:fill="8EAADB" w:themeFill="accent1" w:themeFillTint="99"/>
            <w:vAlign w:val="center"/>
          </w:tcPr>
          <w:p w14:paraId="22500FF5" w14:textId="29FB73FE" w:rsidR="00251353" w:rsidRDefault="00251353" w:rsidP="00251353">
            <w:pPr>
              <w:pStyle w:val="Prrafodelista"/>
              <w:spacing w:after="0" w:line="240" w:lineRule="auto"/>
              <w:ind w:left="0" w:firstLine="0"/>
              <w:jc w:val="center"/>
              <w:rPr>
                <w:rFonts w:eastAsia="Arial" w:cs="Arial"/>
                <w:b/>
                <w:bCs/>
              </w:rPr>
            </w:pPr>
            <w:r>
              <w:rPr>
                <w:rFonts w:ascii="Calibri" w:hAnsi="Calibri"/>
                <w:b/>
                <w:bCs/>
                <w:color w:val="000000"/>
                <w:sz w:val="20"/>
                <w:szCs w:val="20"/>
              </w:rPr>
              <w:t>OBSERVACIONES</w:t>
            </w:r>
          </w:p>
        </w:tc>
      </w:tr>
      <w:tr w:rsidR="00251353" w14:paraId="747D91D7" w14:textId="77777777" w:rsidTr="00251353">
        <w:tc>
          <w:tcPr>
            <w:tcW w:w="2121" w:type="dxa"/>
            <w:shd w:val="clear" w:color="auto" w:fill="EFF5FB"/>
            <w:vAlign w:val="center"/>
          </w:tcPr>
          <w:p w14:paraId="10AED2FC" w14:textId="2E9D9551" w:rsidR="00251353" w:rsidRDefault="00251353" w:rsidP="00251353">
            <w:pPr>
              <w:pStyle w:val="Prrafodelista"/>
              <w:spacing w:after="0" w:line="240" w:lineRule="auto"/>
              <w:ind w:left="0" w:firstLine="0"/>
              <w:jc w:val="center"/>
              <w:rPr>
                <w:rFonts w:eastAsia="Arial" w:cs="Arial"/>
                <w:b/>
                <w:bCs/>
              </w:rPr>
            </w:pPr>
            <w:r>
              <w:rPr>
                <w:rFonts w:ascii="Calibri" w:hAnsi="Calibri"/>
                <w:color w:val="000000"/>
                <w:sz w:val="20"/>
                <w:szCs w:val="20"/>
              </w:rPr>
              <w:t>Ley 140 de 1994</w:t>
            </w:r>
          </w:p>
        </w:tc>
        <w:tc>
          <w:tcPr>
            <w:tcW w:w="2835" w:type="dxa"/>
            <w:shd w:val="clear" w:color="auto" w:fill="EFF5FB"/>
            <w:vAlign w:val="center"/>
          </w:tcPr>
          <w:p w14:paraId="1DE0D09C" w14:textId="6E76072F" w:rsidR="00251353" w:rsidRDefault="00251353" w:rsidP="00251353">
            <w:pPr>
              <w:pStyle w:val="Prrafodelista"/>
              <w:spacing w:after="0" w:line="240" w:lineRule="auto"/>
              <w:ind w:left="0" w:firstLine="0"/>
              <w:jc w:val="center"/>
              <w:rPr>
                <w:rFonts w:eastAsia="Arial" w:cs="Arial"/>
                <w:b/>
                <w:bCs/>
              </w:rPr>
            </w:pPr>
            <w:r>
              <w:rPr>
                <w:rFonts w:ascii="Calibri" w:hAnsi="Calibri"/>
                <w:color w:val="000000"/>
                <w:sz w:val="20"/>
                <w:szCs w:val="20"/>
              </w:rPr>
              <w:t>Reglamentación de la publicidad exterior visual en el Territorio Nacional</w:t>
            </w:r>
          </w:p>
        </w:tc>
        <w:tc>
          <w:tcPr>
            <w:tcW w:w="4296" w:type="dxa"/>
            <w:shd w:val="clear" w:color="auto" w:fill="EFF5FB"/>
            <w:vAlign w:val="center"/>
          </w:tcPr>
          <w:p w14:paraId="54AFB9F3" w14:textId="40FE9035" w:rsidR="00251353" w:rsidRDefault="00251353" w:rsidP="00251353">
            <w:pPr>
              <w:pStyle w:val="Prrafodelista"/>
              <w:spacing w:after="0" w:line="240" w:lineRule="auto"/>
              <w:ind w:left="0" w:firstLine="0"/>
              <w:jc w:val="center"/>
              <w:rPr>
                <w:rFonts w:eastAsia="Arial" w:cs="Arial"/>
                <w:b/>
                <w:bCs/>
              </w:rPr>
            </w:pPr>
            <w:r>
              <w:rPr>
                <w:rFonts w:ascii="Calibri" w:hAnsi="Calibri"/>
                <w:color w:val="000000"/>
                <w:sz w:val="20"/>
                <w:szCs w:val="20"/>
              </w:rPr>
              <w:t>Establece las condiciones en que puede realizarse la publicidad exterior visual en el territorio nacional.</w:t>
            </w:r>
          </w:p>
        </w:tc>
      </w:tr>
      <w:tr w:rsidR="00251353" w14:paraId="4494E1F5" w14:textId="77777777" w:rsidTr="00251353">
        <w:tc>
          <w:tcPr>
            <w:tcW w:w="2121" w:type="dxa"/>
            <w:shd w:val="clear" w:color="auto" w:fill="EFF5FB"/>
            <w:vAlign w:val="center"/>
          </w:tcPr>
          <w:p w14:paraId="1050DAE5" w14:textId="00EF1E18" w:rsidR="00251353" w:rsidRDefault="00251353" w:rsidP="00251353">
            <w:pPr>
              <w:pStyle w:val="Prrafodelista"/>
              <w:spacing w:after="0" w:line="240" w:lineRule="auto"/>
              <w:ind w:left="0" w:firstLine="0"/>
              <w:jc w:val="center"/>
              <w:rPr>
                <w:rFonts w:eastAsia="Arial" w:cs="Arial"/>
                <w:b/>
                <w:bCs/>
              </w:rPr>
            </w:pPr>
            <w:r>
              <w:rPr>
                <w:rFonts w:ascii="Calibri" w:hAnsi="Calibri"/>
                <w:color w:val="000000"/>
                <w:sz w:val="20"/>
                <w:szCs w:val="20"/>
              </w:rPr>
              <w:t xml:space="preserve">Decreto </w:t>
            </w:r>
            <w:proofErr w:type="gramStart"/>
            <w:r>
              <w:rPr>
                <w:rFonts w:ascii="Calibri" w:hAnsi="Calibri"/>
                <w:color w:val="000000"/>
                <w:sz w:val="20"/>
                <w:szCs w:val="20"/>
              </w:rPr>
              <w:t>959  de</w:t>
            </w:r>
            <w:proofErr w:type="gramEnd"/>
            <w:r>
              <w:rPr>
                <w:rFonts w:ascii="Calibri" w:hAnsi="Calibri"/>
                <w:color w:val="000000"/>
                <w:sz w:val="20"/>
                <w:szCs w:val="20"/>
              </w:rPr>
              <w:t xml:space="preserve"> 2000</w:t>
            </w:r>
          </w:p>
        </w:tc>
        <w:tc>
          <w:tcPr>
            <w:tcW w:w="2835" w:type="dxa"/>
            <w:shd w:val="clear" w:color="auto" w:fill="EFF5FB"/>
            <w:vAlign w:val="center"/>
          </w:tcPr>
          <w:p w14:paraId="08EA4B5A" w14:textId="19219EFF" w:rsidR="00251353" w:rsidRDefault="00251353" w:rsidP="00251353">
            <w:pPr>
              <w:pStyle w:val="Prrafodelista"/>
              <w:spacing w:after="0" w:line="240" w:lineRule="auto"/>
              <w:ind w:left="0" w:firstLine="0"/>
              <w:jc w:val="center"/>
              <w:rPr>
                <w:rFonts w:eastAsia="Arial" w:cs="Arial"/>
                <w:b/>
                <w:bCs/>
              </w:rPr>
            </w:pPr>
            <w:r>
              <w:rPr>
                <w:rFonts w:ascii="Calibri" w:hAnsi="Calibri"/>
                <w:color w:val="000000"/>
                <w:sz w:val="20"/>
                <w:szCs w:val="20"/>
              </w:rPr>
              <w:t>Reglamentación de la publicidad exterior visual en el Distrito Capital.</w:t>
            </w:r>
          </w:p>
        </w:tc>
        <w:tc>
          <w:tcPr>
            <w:tcW w:w="4296" w:type="dxa"/>
            <w:shd w:val="clear" w:color="auto" w:fill="EFF5FB"/>
            <w:vAlign w:val="center"/>
          </w:tcPr>
          <w:p w14:paraId="1F596C1A" w14:textId="39D0E123" w:rsidR="00251353" w:rsidRDefault="00251353" w:rsidP="00251353">
            <w:pPr>
              <w:pStyle w:val="Prrafodelista"/>
              <w:spacing w:after="0" w:line="240" w:lineRule="auto"/>
              <w:ind w:left="0" w:firstLine="0"/>
              <w:jc w:val="center"/>
              <w:rPr>
                <w:rFonts w:eastAsia="Arial" w:cs="Arial"/>
                <w:b/>
                <w:bCs/>
              </w:rPr>
            </w:pPr>
            <w:r>
              <w:rPr>
                <w:rFonts w:ascii="Calibri" w:hAnsi="Calibri"/>
                <w:color w:val="000000"/>
                <w:sz w:val="20"/>
                <w:szCs w:val="20"/>
              </w:rPr>
              <w:t>Compila las normas del Acuerdo 01 de 1998 y del Acuerdo 12 de 2000, que conforman la reglamentación vigente en materia de publicidad exterior visual en el Distrito Capital según facultad otorgada por el Concejo Distrital en el artículo décimo sexto del Acuerdo Distrital 12 de 2000.</w:t>
            </w:r>
          </w:p>
        </w:tc>
      </w:tr>
      <w:tr w:rsidR="00251353" w14:paraId="345379BA" w14:textId="77777777" w:rsidTr="00251353">
        <w:tc>
          <w:tcPr>
            <w:tcW w:w="2121" w:type="dxa"/>
            <w:shd w:val="clear" w:color="auto" w:fill="EFF5FB"/>
            <w:vAlign w:val="center"/>
          </w:tcPr>
          <w:p w14:paraId="1EAD5CE8" w14:textId="20B816CC" w:rsidR="00251353" w:rsidRDefault="00251353" w:rsidP="00251353">
            <w:pPr>
              <w:pStyle w:val="Prrafodelista"/>
              <w:spacing w:after="0" w:line="240" w:lineRule="auto"/>
              <w:ind w:left="0" w:firstLine="0"/>
              <w:jc w:val="center"/>
              <w:rPr>
                <w:rFonts w:eastAsia="Arial" w:cs="Arial"/>
                <w:b/>
                <w:bCs/>
              </w:rPr>
            </w:pPr>
            <w:r>
              <w:rPr>
                <w:rFonts w:ascii="Calibri" w:hAnsi="Calibri"/>
                <w:color w:val="000000"/>
                <w:sz w:val="20"/>
                <w:szCs w:val="20"/>
              </w:rPr>
              <w:t>Decreto 506 de 2003</w:t>
            </w:r>
          </w:p>
        </w:tc>
        <w:tc>
          <w:tcPr>
            <w:tcW w:w="2835" w:type="dxa"/>
            <w:shd w:val="clear" w:color="auto" w:fill="EFF5FB"/>
            <w:vAlign w:val="center"/>
          </w:tcPr>
          <w:p w14:paraId="7BD1EF25" w14:textId="514F4802" w:rsidR="00251353" w:rsidRDefault="00251353" w:rsidP="00251353">
            <w:pPr>
              <w:pStyle w:val="Prrafodelista"/>
              <w:spacing w:after="0" w:line="240" w:lineRule="auto"/>
              <w:ind w:left="0" w:firstLine="0"/>
              <w:jc w:val="center"/>
              <w:rPr>
                <w:rFonts w:eastAsia="Arial" w:cs="Arial"/>
                <w:b/>
                <w:bCs/>
              </w:rPr>
            </w:pPr>
            <w:r>
              <w:rPr>
                <w:rFonts w:ascii="Calibri" w:hAnsi="Calibri"/>
                <w:color w:val="000000"/>
                <w:sz w:val="20"/>
                <w:szCs w:val="20"/>
              </w:rPr>
              <w:t>Reglamenta los Acuerdos 01 de 1998 y 12 de 2000, compilados en el Decreto 959 de 2000.</w:t>
            </w:r>
          </w:p>
        </w:tc>
        <w:tc>
          <w:tcPr>
            <w:tcW w:w="4296" w:type="dxa"/>
            <w:shd w:val="clear" w:color="auto" w:fill="EFF5FB"/>
            <w:vAlign w:val="center"/>
          </w:tcPr>
          <w:p w14:paraId="3FD0477E" w14:textId="698A5289" w:rsidR="00251353" w:rsidRDefault="00251353" w:rsidP="00251353">
            <w:pPr>
              <w:pStyle w:val="Prrafodelista"/>
              <w:spacing w:after="0" w:line="240" w:lineRule="auto"/>
              <w:ind w:left="0" w:firstLine="0"/>
              <w:jc w:val="center"/>
              <w:rPr>
                <w:rFonts w:eastAsia="Arial" w:cs="Arial"/>
                <w:b/>
                <w:bCs/>
              </w:rPr>
            </w:pPr>
            <w:r>
              <w:rPr>
                <w:rFonts w:ascii="Calibri" w:hAnsi="Calibri"/>
                <w:color w:val="000000"/>
                <w:sz w:val="20"/>
                <w:szCs w:val="20"/>
              </w:rPr>
              <w:t>Establece las prohibiciones para la instalación de publicidad exterior visual.</w:t>
            </w:r>
          </w:p>
        </w:tc>
      </w:tr>
      <w:tr w:rsidR="00251353" w14:paraId="59BDB7F2" w14:textId="77777777" w:rsidTr="00251353">
        <w:tc>
          <w:tcPr>
            <w:tcW w:w="2121" w:type="dxa"/>
            <w:shd w:val="clear" w:color="auto" w:fill="EFF5FB"/>
            <w:vAlign w:val="center"/>
          </w:tcPr>
          <w:p w14:paraId="01719CF5" w14:textId="7A8D3B7D" w:rsidR="00251353" w:rsidRDefault="00251353" w:rsidP="00251353">
            <w:pPr>
              <w:pStyle w:val="Prrafodelista"/>
              <w:spacing w:after="0" w:line="240" w:lineRule="auto"/>
              <w:ind w:left="0" w:firstLine="0"/>
              <w:jc w:val="center"/>
              <w:rPr>
                <w:rFonts w:eastAsia="Arial" w:cs="Arial"/>
                <w:b/>
                <w:bCs/>
              </w:rPr>
            </w:pPr>
            <w:r>
              <w:rPr>
                <w:rFonts w:ascii="Calibri" w:hAnsi="Calibri"/>
                <w:color w:val="000000"/>
                <w:sz w:val="20"/>
                <w:szCs w:val="20"/>
              </w:rPr>
              <w:t>Resolución 931 de 2008 Secretaría Distrital de Ambiente</w:t>
            </w:r>
          </w:p>
        </w:tc>
        <w:tc>
          <w:tcPr>
            <w:tcW w:w="2835" w:type="dxa"/>
            <w:shd w:val="clear" w:color="auto" w:fill="EFF5FB"/>
            <w:vAlign w:val="center"/>
          </w:tcPr>
          <w:p w14:paraId="7E9F01F2" w14:textId="1D59C97E" w:rsidR="00251353" w:rsidRDefault="00251353" w:rsidP="00251353">
            <w:pPr>
              <w:pStyle w:val="Prrafodelista"/>
              <w:spacing w:after="0" w:line="240" w:lineRule="auto"/>
              <w:ind w:left="0" w:firstLine="0"/>
              <w:jc w:val="center"/>
              <w:rPr>
                <w:rFonts w:eastAsia="Arial" w:cs="Arial"/>
                <w:b/>
                <w:bCs/>
              </w:rPr>
            </w:pPr>
            <w:r>
              <w:rPr>
                <w:rFonts w:ascii="Calibri" w:hAnsi="Calibri"/>
                <w:color w:val="000000"/>
                <w:sz w:val="20"/>
                <w:szCs w:val="20"/>
              </w:rPr>
              <w:t>Por la cual se reglamenta el procedimiento para el registro, el desmonte de elementos de publicidad exterior visual y el procedimiento sancionatorio correspondiente en el Distrito Capital.</w:t>
            </w:r>
          </w:p>
        </w:tc>
        <w:tc>
          <w:tcPr>
            <w:tcW w:w="4296" w:type="dxa"/>
            <w:shd w:val="clear" w:color="auto" w:fill="EFF5FB"/>
            <w:vAlign w:val="center"/>
          </w:tcPr>
          <w:p w14:paraId="351AA1CB" w14:textId="2F91A754" w:rsidR="00251353" w:rsidRDefault="00251353" w:rsidP="00251353">
            <w:pPr>
              <w:pStyle w:val="Prrafodelista"/>
              <w:spacing w:after="0" w:line="240" w:lineRule="auto"/>
              <w:ind w:left="0" w:firstLine="0"/>
              <w:jc w:val="center"/>
              <w:rPr>
                <w:rFonts w:eastAsia="Arial" w:cs="Arial"/>
                <w:b/>
                <w:bCs/>
              </w:rPr>
            </w:pPr>
            <w:r>
              <w:rPr>
                <w:rFonts w:ascii="Calibri" w:hAnsi="Calibri"/>
                <w:color w:val="000000"/>
                <w:sz w:val="20"/>
                <w:szCs w:val="20"/>
              </w:rPr>
              <w:t>Reglamenta el procedimiento para el registro, el desmonte de elementos de publicidad exterior visual y el procedimiento sancionatorio correspondiente en el Distrito Capital.</w:t>
            </w:r>
          </w:p>
        </w:tc>
      </w:tr>
      <w:tr w:rsidR="00251353" w14:paraId="3E130EC3" w14:textId="77777777" w:rsidTr="00251353">
        <w:tc>
          <w:tcPr>
            <w:tcW w:w="2121" w:type="dxa"/>
            <w:shd w:val="clear" w:color="auto" w:fill="EFF5FB"/>
            <w:vAlign w:val="center"/>
          </w:tcPr>
          <w:p w14:paraId="5E469887" w14:textId="01CD2061" w:rsidR="00251353" w:rsidRDefault="00251353" w:rsidP="00251353">
            <w:pPr>
              <w:pStyle w:val="Prrafodelista"/>
              <w:spacing w:after="0" w:line="240" w:lineRule="auto"/>
              <w:ind w:left="0" w:firstLine="0"/>
              <w:jc w:val="center"/>
              <w:rPr>
                <w:rFonts w:eastAsia="Arial" w:cs="Arial"/>
                <w:b/>
                <w:bCs/>
              </w:rPr>
            </w:pPr>
            <w:r>
              <w:rPr>
                <w:rFonts w:ascii="Calibri" w:hAnsi="Calibri"/>
                <w:color w:val="000000"/>
                <w:sz w:val="20"/>
                <w:szCs w:val="20"/>
              </w:rPr>
              <w:t>Resolución 5453 de 2009</w:t>
            </w:r>
          </w:p>
        </w:tc>
        <w:tc>
          <w:tcPr>
            <w:tcW w:w="2835" w:type="dxa"/>
            <w:shd w:val="clear" w:color="auto" w:fill="EFF5FB"/>
            <w:vAlign w:val="center"/>
          </w:tcPr>
          <w:p w14:paraId="5556562C" w14:textId="355FDB11" w:rsidR="00251353" w:rsidRDefault="00251353" w:rsidP="00251353">
            <w:pPr>
              <w:pStyle w:val="Prrafodelista"/>
              <w:spacing w:after="0" w:line="240" w:lineRule="auto"/>
              <w:ind w:left="0" w:firstLine="0"/>
              <w:jc w:val="center"/>
              <w:rPr>
                <w:rFonts w:eastAsia="Arial" w:cs="Arial"/>
                <w:b/>
                <w:bCs/>
              </w:rPr>
            </w:pPr>
            <w:r>
              <w:rPr>
                <w:rFonts w:ascii="Calibri" w:hAnsi="Calibri"/>
                <w:color w:val="000000"/>
                <w:sz w:val="20"/>
                <w:szCs w:val="20"/>
              </w:rPr>
              <w:t>Regulación de condiciones y requisitos de ubicación de los pendones y pasacalles en el Distrito Capital.</w:t>
            </w:r>
          </w:p>
        </w:tc>
        <w:tc>
          <w:tcPr>
            <w:tcW w:w="4296" w:type="dxa"/>
            <w:shd w:val="clear" w:color="auto" w:fill="EFF5FB"/>
            <w:vAlign w:val="center"/>
          </w:tcPr>
          <w:p w14:paraId="6C34BBBC" w14:textId="3963ED00" w:rsidR="00251353" w:rsidRDefault="00251353" w:rsidP="00251353">
            <w:pPr>
              <w:pStyle w:val="Prrafodelista"/>
              <w:spacing w:after="0" w:line="240" w:lineRule="auto"/>
              <w:ind w:left="0" w:firstLine="0"/>
              <w:jc w:val="center"/>
              <w:rPr>
                <w:rFonts w:eastAsia="Arial" w:cs="Arial"/>
                <w:b/>
                <w:bCs/>
              </w:rPr>
            </w:pPr>
            <w:r>
              <w:rPr>
                <w:rFonts w:ascii="Calibri" w:hAnsi="Calibri"/>
                <w:color w:val="000000"/>
                <w:sz w:val="20"/>
                <w:szCs w:val="20"/>
              </w:rPr>
              <w:t>Determina los requisitos técnicos y condiciones de ubicación de los pasacalles y pendones que se instalan en el Distrito Capital.</w:t>
            </w:r>
          </w:p>
        </w:tc>
      </w:tr>
      <w:tr w:rsidR="00251353" w14:paraId="4A7B8DBF" w14:textId="77777777" w:rsidTr="00251353">
        <w:tc>
          <w:tcPr>
            <w:tcW w:w="2121" w:type="dxa"/>
            <w:shd w:val="clear" w:color="auto" w:fill="EFF5FB"/>
            <w:vAlign w:val="center"/>
          </w:tcPr>
          <w:p w14:paraId="7C2A253B" w14:textId="4987F0F7" w:rsidR="00251353" w:rsidRDefault="00251353" w:rsidP="00251353">
            <w:pPr>
              <w:pStyle w:val="Prrafodelista"/>
              <w:spacing w:after="0" w:line="240" w:lineRule="auto"/>
              <w:ind w:left="0" w:firstLine="0"/>
              <w:jc w:val="center"/>
              <w:rPr>
                <w:rFonts w:eastAsia="Arial" w:cs="Arial"/>
                <w:b/>
                <w:bCs/>
              </w:rPr>
            </w:pPr>
            <w:r>
              <w:rPr>
                <w:rFonts w:ascii="Calibri" w:hAnsi="Calibri"/>
                <w:color w:val="000000"/>
                <w:sz w:val="20"/>
                <w:szCs w:val="20"/>
              </w:rPr>
              <w:t>Decreto 189 de 2011 Alcaldía Mayor de Bogotá, D.C.</w:t>
            </w:r>
          </w:p>
        </w:tc>
        <w:tc>
          <w:tcPr>
            <w:tcW w:w="2835" w:type="dxa"/>
            <w:shd w:val="clear" w:color="auto" w:fill="EFF5FB"/>
            <w:vAlign w:val="center"/>
          </w:tcPr>
          <w:p w14:paraId="77E332D4" w14:textId="7F341702" w:rsidR="00251353" w:rsidRDefault="00251353" w:rsidP="00251353">
            <w:pPr>
              <w:pStyle w:val="Prrafodelista"/>
              <w:spacing w:after="0" w:line="240" w:lineRule="auto"/>
              <w:ind w:left="0" w:firstLine="0"/>
              <w:jc w:val="center"/>
              <w:rPr>
                <w:rFonts w:eastAsia="Arial" w:cs="Arial"/>
                <w:b/>
                <w:bCs/>
              </w:rPr>
            </w:pPr>
            <w:r>
              <w:rPr>
                <w:rFonts w:ascii="Calibri" w:hAnsi="Calibri"/>
                <w:color w:val="000000"/>
                <w:sz w:val="20"/>
                <w:szCs w:val="20"/>
              </w:rPr>
              <w:t>Por el cual se establecen los lineamientos ambientales para el manejo, conservación y aprovechamiento del paisaje en el Distrito Capital, respecto de la Publicidad Exterior Visual –PEV.</w:t>
            </w:r>
          </w:p>
        </w:tc>
        <w:tc>
          <w:tcPr>
            <w:tcW w:w="4296" w:type="dxa"/>
            <w:shd w:val="clear" w:color="auto" w:fill="EFF5FB"/>
            <w:vAlign w:val="center"/>
          </w:tcPr>
          <w:p w14:paraId="6221EC85" w14:textId="0C639B6B" w:rsidR="00251353" w:rsidRDefault="00251353" w:rsidP="00251353">
            <w:pPr>
              <w:pStyle w:val="Prrafodelista"/>
              <w:spacing w:after="0" w:line="240" w:lineRule="auto"/>
              <w:ind w:left="0" w:firstLine="0"/>
              <w:jc w:val="center"/>
              <w:rPr>
                <w:rFonts w:eastAsia="Arial" w:cs="Arial"/>
                <w:b/>
                <w:bCs/>
              </w:rPr>
            </w:pPr>
            <w:r>
              <w:rPr>
                <w:rFonts w:ascii="Calibri" w:hAnsi="Calibri"/>
                <w:color w:val="000000"/>
                <w:sz w:val="20"/>
                <w:szCs w:val="20"/>
              </w:rPr>
              <w:t>Adopta los lineamientos ambientales para el manejo, aprovechamiento y conservación del paisaje en el Distrito Capital, respecto de la Publicidad Exterior Visual PEV, los cuales están orientados a constituir un marco que estructure la acción institucional hacia la protección del paisaje y del espacio público, pretendiendo lograr un equilibrio entre la preservación del paisaje y la regulación y control del ejercicio de la PEV, dentro de los principios que garanticen la protección de los derechos colectivos al medio ambiente sano y al espacio público.</w:t>
            </w:r>
          </w:p>
        </w:tc>
      </w:tr>
      <w:tr w:rsidR="00251353" w14:paraId="4AC30615" w14:textId="77777777" w:rsidTr="00251353">
        <w:tc>
          <w:tcPr>
            <w:tcW w:w="2121" w:type="dxa"/>
            <w:shd w:val="clear" w:color="auto" w:fill="EFF5FB"/>
            <w:vAlign w:val="center"/>
          </w:tcPr>
          <w:p w14:paraId="00F9B3A7" w14:textId="644E1CBA" w:rsidR="00251353" w:rsidRDefault="00251353" w:rsidP="00251353">
            <w:pPr>
              <w:pStyle w:val="Prrafodelista"/>
              <w:spacing w:after="0" w:line="240" w:lineRule="auto"/>
              <w:ind w:left="0" w:firstLine="0"/>
              <w:jc w:val="center"/>
              <w:rPr>
                <w:rFonts w:eastAsia="Arial" w:cs="Arial"/>
                <w:b/>
                <w:bCs/>
              </w:rPr>
            </w:pPr>
            <w:r>
              <w:rPr>
                <w:rFonts w:ascii="Calibri" w:hAnsi="Calibri"/>
                <w:color w:val="000000"/>
                <w:sz w:val="20"/>
                <w:szCs w:val="20"/>
              </w:rPr>
              <w:t>Resolución 2962 de 2011 Secretaría Distrital de Ambiente</w:t>
            </w:r>
          </w:p>
        </w:tc>
        <w:tc>
          <w:tcPr>
            <w:tcW w:w="2835" w:type="dxa"/>
            <w:shd w:val="clear" w:color="auto" w:fill="EFF5FB"/>
            <w:vAlign w:val="center"/>
          </w:tcPr>
          <w:p w14:paraId="066DCA4A" w14:textId="23B10901" w:rsidR="00251353" w:rsidRDefault="00251353" w:rsidP="00251353">
            <w:pPr>
              <w:pStyle w:val="Prrafodelista"/>
              <w:spacing w:after="0" w:line="240" w:lineRule="auto"/>
              <w:ind w:left="0" w:firstLine="0"/>
              <w:jc w:val="center"/>
              <w:rPr>
                <w:rFonts w:eastAsia="Arial" w:cs="Arial"/>
                <w:b/>
                <w:bCs/>
              </w:rPr>
            </w:pPr>
            <w:r>
              <w:rPr>
                <w:rFonts w:ascii="Calibri" w:hAnsi="Calibri"/>
                <w:color w:val="000000"/>
                <w:sz w:val="20"/>
                <w:szCs w:val="20"/>
              </w:rPr>
              <w:t>Por la cual se regulan las características y condiciones para la fijación e instalación de Publicidad Exterior Visual en Movimiento – Pantallas-, y se toman otras determinaciones.</w:t>
            </w:r>
          </w:p>
        </w:tc>
        <w:tc>
          <w:tcPr>
            <w:tcW w:w="4296" w:type="dxa"/>
            <w:shd w:val="clear" w:color="auto" w:fill="EFF5FB"/>
            <w:vAlign w:val="center"/>
          </w:tcPr>
          <w:p w14:paraId="3CF62A56" w14:textId="59B32163" w:rsidR="00251353" w:rsidRDefault="00251353" w:rsidP="00251353">
            <w:pPr>
              <w:pStyle w:val="Prrafodelista"/>
              <w:spacing w:after="0" w:line="240" w:lineRule="auto"/>
              <w:ind w:left="0" w:firstLine="0"/>
              <w:jc w:val="center"/>
              <w:rPr>
                <w:rFonts w:eastAsia="Arial" w:cs="Arial"/>
                <w:b/>
                <w:bCs/>
              </w:rPr>
            </w:pPr>
            <w:r>
              <w:rPr>
                <w:rFonts w:ascii="Calibri" w:hAnsi="Calibri"/>
                <w:color w:val="000000"/>
                <w:sz w:val="20"/>
                <w:szCs w:val="20"/>
              </w:rPr>
              <w:t>Regula las características y condiciones técnicas y de seguridad para la fijación e instalación de Publicidad Exterior Visual en Movimiento, a través de Pantallas, en el Distrito Capital. Se establecen las prohibiciones, el registro de este tipo de publicidad, el cual se otorgará por un término de 2 años, a partir de la fecha del Acto Administrativo que otorgue el registro, la tarifa por el cobro de servicio de evaluación y seguimiento y las sanciones por el incumplimiento de las normas sobre publicidad exterior visual.</w:t>
            </w:r>
            <w:r>
              <w:rPr>
                <w:rFonts w:ascii="Calibri" w:hAnsi="Calibri"/>
                <w:color w:val="000000"/>
                <w:sz w:val="20"/>
                <w:szCs w:val="20"/>
              </w:rPr>
              <w:br/>
              <w:t xml:space="preserve"> </w:t>
            </w:r>
          </w:p>
        </w:tc>
      </w:tr>
    </w:tbl>
    <w:p w14:paraId="45CFC8D4" w14:textId="77777777" w:rsidR="00251353" w:rsidRDefault="00251353" w:rsidP="007A5A2B">
      <w:pPr>
        <w:tabs>
          <w:tab w:val="left" w:pos="2577"/>
        </w:tabs>
        <w:ind w:firstLine="0"/>
        <w:rPr>
          <w:rFonts w:eastAsia="Arial" w:cs="Arial"/>
          <w:b/>
          <w:bCs/>
        </w:rPr>
      </w:pPr>
    </w:p>
    <w:p w14:paraId="7BA2F0BF" w14:textId="3E1BA683" w:rsidR="0024045A" w:rsidRPr="00E96915" w:rsidRDefault="007A5A2B" w:rsidP="00E96915">
      <w:pPr>
        <w:pStyle w:val="Ttulo4"/>
      </w:pPr>
      <w:r w:rsidRPr="00E96915">
        <w:lastRenderedPageBreak/>
        <w:t xml:space="preserve">1.4.2.3 </w:t>
      </w:r>
      <w:r w:rsidR="0024045A" w:rsidRPr="00E96915">
        <w:t>Contaminación atmosférica.</w:t>
      </w:r>
    </w:p>
    <w:tbl>
      <w:tblPr>
        <w:tblStyle w:val="Tablaconcuadrcula"/>
        <w:tblW w:w="0" w:type="auto"/>
        <w:tblLook w:val="04A0" w:firstRow="1" w:lastRow="0" w:firstColumn="1" w:lastColumn="0" w:noHBand="0" w:noVBand="1"/>
      </w:tblPr>
      <w:tblGrid>
        <w:gridCol w:w="2122"/>
        <w:gridCol w:w="2693"/>
        <w:gridCol w:w="4579"/>
      </w:tblGrid>
      <w:tr w:rsidR="00075367" w14:paraId="7F2F85E9" w14:textId="77777777" w:rsidTr="008014E8">
        <w:trPr>
          <w:trHeight w:val="321"/>
        </w:trPr>
        <w:tc>
          <w:tcPr>
            <w:tcW w:w="2122" w:type="dxa"/>
            <w:shd w:val="clear" w:color="auto" w:fill="8EAADB" w:themeFill="accent1" w:themeFillTint="99"/>
            <w:vAlign w:val="center"/>
          </w:tcPr>
          <w:p w14:paraId="3DFE355B" w14:textId="4DDF4797" w:rsidR="00075367" w:rsidRPr="00075367" w:rsidRDefault="00075367" w:rsidP="008014E8">
            <w:pPr>
              <w:tabs>
                <w:tab w:val="left" w:pos="2577"/>
              </w:tabs>
              <w:spacing w:after="0" w:line="240" w:lineRule="auto"/>
              <w:ind w:firstLine="0"/>
              <w:jc w:val="center"/>
              <w:rPr>
                <w:rFonts w:eastAsia="Arial" w:cs="Arial"/>
                <w:b/>
                <w:bCs/>
                <w:sz w:val="16"/>
                <w:szCs w:val="16"/>
              </w:rPr>
            </w:pPr>
            <w:r w:rsidRPr="00075367">
              <w:rPr>
                <w:rFonts w:ascii="Calibri" w:hAnsi="Calibri"/>
                <w:b/>
                <w:bCs/>
                <w:color w:val="000000"/>
                <w:sz w:val="16"/>
                <w:szCs w:val="16"/>
              </w:rPr>
              <w:t>NORMA</w:t>
            </w:r>
          </w:p>
        </w:tc>
        <w:tc>
          <w:tcPr>
            <w:tcW w:w="2693" w:type="dxa"/>
            <w:shd w:val="clear" w:color="auto" w:fill="8EAADB" w:themeFill="accent1" w:themeFillTint="99"/>
            <w:vAlign w:val="center"/>
          </w:tcPr>
          <w:p w14:paraId="5C51BE45" w14:textId="09CA568F" w:rsidR="00075367" w:rsidRPr="00075367" w:rsidRDefault="00075367" w:rsidP="008014E8">
            <w:pPr>
              <w:tabs>
                <w:tab w:val="left" w:pos="2577"/>
              </w:tabs>
              <w:spacing w:after="0" w:line="240" w:lineRule="auto"/>
              <w:ind w:firstLine="0"/>
              <w:jc w:val="center"/>
              <w:rPr>
                <w:rFonts w:eastAsia="Arial" w:cs="Arial"/>
                <w:b/>
                <w:bCs/>
                <w:sz w:val="16"/>
                <w:szCs w:val="16"/>
              </w:rPr>
            </w:pPr>
            <w:r w:rsidRPr="00075367">
              <w:rPr>
                <w:rFonts w:ascii="Calibri" w:hAnsi="Calibri"/>
                <w:b/>
                <w:bCs/>
                <w:color w:val="000000"/>
                <w:sz w:val="16"/>
                <w:szCs w:val="16"/>
              </w:rPr>
              <w:t>DISPOSICIÓN</w:t>
            </w:r>
          </w:p>
        </w:tc>
        <w:tc>
          <w:tcPr>
            <w:tcW w:w="4579" w:type="dxa"/>
            <w:shd w:val="clear" w:color="auto" w:fill="8EAADB" w:themeFill="accent1" w:themeFillTint="99"/>
            <w:vAlign w:val="center"/>
          </w:tcPr>
          <w:p w14:paraId="46FD5194" w14:textId="3267523D" w:rsidR="00075367" w:rsidRPr="00075367" w:rsidRDefault="00075367" w:rsidP="008014E8">
            <w:pPr>
              <w:tabs>
                <w:tab w:val="left" w:pos="2577"/>
              </w:tabs>
              <w:spacing w:after="0" w:line="240" w:lineRule="auto"/>
              <w:ind w:firstLine="0"/>
              <w:jc w:val="center"/>
              <w:rPr>
                <w:rFonts w:eastAsia="Arial" w:cs="Arial"/>
                <w:b/>
                <w:bCs/>
                <w:sz w:val="16"/>
                <w:szCs w:val="16"/>
              </w:rPr>
            </w:pPr>
            <w:r w:rsidRPr="00075367">
              <w:rPr>
                <w:rFonts w:ascii="Calibri" w:hAnsi="Calibri"/>
                <w:b/>
                <w:bCs/>
                <w:color w:val="000000"/>
                <w:sz w:val="16"/>
                <w:szCs w:val="16"/>
              </w:rPr>
              <w:t>OBSERVACIONES</w:t>
            </w:r>
          </w:p>
        </w:tc>
      </w:tr>
      <w:tr w:rsidR="00075367" w14:paraId="60459E5E" w14:textId="77777777" w:rsidTr="008014E8">
        <w:tc>
          <w:tcPr>
            <w:tcW w:w="2122" w:type="dxa"/>
            <w:shd w:val="clear" w:color="auto" w:fill="EFF5FB"/>
            <w:vAlign w:val="center"/>
          </w:tcPr>
          <w:p w14:paraId="5D31321B" w14:textId="40CAC108"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Ley 9 de 1979</w:t>
            </w:r>
          </w:p>
        </w:tc>
        <w:tc>
          <w:tcPr>
            <w:tcW w:w="2693" w:type="dxa"/>
            <w:shd w:val="clear" w:color="auto" w:fill="EFF5FB"/>
            <w:vAlign w:val="center"/>
          </w:tcPr>
          <w:p w14:paraId="435C1664" w14:textId="3D5C25B3"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Código Sanitario Nacional</w:t>
            </w:r>
          </w:p>
        </w:tc>
        <w:tc>
          <w:tcPr>
            <w:tcW w:w="4579" w:type="dxa"/>
            <w:shd w:val="clear" w:color="auto" w:fill="EFF5FB"/>
            <w:vAlign w:val="center"/>
          </w:tcPr>
          <w:p w14:paraId="3ED3D956" w14:textId="131F1D0C"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 xml:space="preserve">Es un compendio de normas sanitarias </w:t>
            </w:r>
            <w:proofErr w:type="gramStart"/>
            <w:r w:rsidRPr="00075367">
              <w:rPr>
                <w:rFonts w:ascii="Calibri" w:hAnsi="Calibri"/>
                <w:color w:val="000000"/>
                <w:sz w:val="16"/>
                <w:szCs w:val="16"/>
              </w:rPr>
              <w:t>relacionadas  con</w:t>
            </w:r>
            <w:proofErr w:type="gramEnd"/>
            <w:r w:rsidRPr="00075367">
              <w:rPr>
                <w:rFonts w:ascii="Calibri" w:hAnsi="Calibri"/>
                <w:color w:val="000000"/>
                <w:sz w:val="16"/>
                <w:szCs w:val="16"/>
              </w:rPr>
              <w:t xml:space="preserve"> la afectación de la salud humana y el medio ambiente.</w:t>
            </w:r>
          </w:p>
        </w:tc>
      </w:tr>
      <w:tr w:rsidR="00075367" w14:paraId="3B10FD5C" w14:textId="77777777" w:rsidTr="008014E8">
        <w:tc>
          <w:tcPr>
            <w:tcW w:w="2122" w:type="dxa"/>
            <w:shd w:val="clear" w:color="auto" w:fill="EFF5FB"/>
            <w:vAlign w:val="center"/>
          </w:tcPr>
          <w:p w14:paraId="69D96C17" w14:textId="2BAA00BF"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Decreto 948 de 1993</w:t>
            </w:r>
          </w:p>
        </w:tc>
        <w:tc>
          <w:tcPr>
            <w:tcW w:w="2693" w:type="dxa"/>
            <w:shd w:val="clear" w:color="auto" w:fill="EFF5FB"/>
            <w:vAlign w:val="center"/>
          </w:tcPr>
          <w:p w14:paraId="5514966E" w14:textId="33EB5962"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 xml:space="preserve">Por el cual se reglamentan la prevención y </w:t>
            </w:r>
            <w:proofErr w:type="gramStart"/>
            <w:r w:rsidRPr="00075367">
              <w:rPr>
                <w:rFonts w:ascii="Calibri" w:hAnsi="Calibri"/>
                <w:color w:val="000000"/>
                <w:sz w:val="16"/>
                <w:szCs w:val="16"/>
              </w:rPr>
              <w:t>control  de</w:t>
            </w:r>
            <w:proofErr w:type="gramEnd"/>
            <w:r w:rsidRPr="00075367">
              <w:rPr>
                <w:rFonts w:ascii="Calibri" w:hAnsi="Calibri"/>
                <w:color w:val="000000"/>
                <w:sz w:val="16"/>
                <w:szCs w:val="16"/>
              </w:rPr>
              <w:t xml:space="preserve"> la contaminación atmosférica y la protección de la calidad del aire.</w:t>
            </w:r>
          </w:p>
        </w:tc>
        <w:tc>
          <w:tcPr>
            <w:tcW w:w="4579" w:type="dxa"/>
            <w:shd w:val="clear" w:color="auto" w:fill="EFF5FB"/>
            <w:vAlign w:val="center"/>
          </w:tcPr>
          <w:p w14:paraId="11DBDF44" w14:textId="66D0CEB4"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Contiene el reglamento de protección y control de la calidad del aire de alcance general y aplicable en todo el territorio nacional.</w:t>
            </w:r>
          </w:p>
        </w:tc>
      </w:tr>
      <w:tr w:rsidR="00075367" w14:paraId="1CDD927A" w14:textId="77777777" w:rsidTr="008014E8">
        <w:tc>
          <w:tcPr>
            <w:tcW w:w="2122" w:type="dxa"/>
            <w:shd w:val="clear" w:color="auto" w:fill="EFF5FB"/>
            <w:vAlign w:val="center"/>
          </w:tcPr>
          <w:p w14:paraId="15D47B1B" w14:textId="7396C1E1"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Resolución 160 de 1996 DAMA</w:t>
            </w:r>
          </w:p>
        </w:tc>
        <w:tc>
          <w:tcPr>
            <w:tcW w:w="2693" w:type="dxa"/>
            <w:shd w:val="clear" w:color="auto" w:fill="EFF5FB"/>
            <w:vAlign w:val="center"/>
          </w:tcPr>
          <w:p w14:paraId="138375A1" w14:textId="50E9EDE5"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 xml:space="preserve">Por el cual se reglamentan los niveles permisibles de emisión de contaminantes producidos por las fuentes móviles con motor a gasolina y </w:t>
            </w:r>
            <w:r w:rsidR="00A75C30" w:rsidRPr="00075367">
              <w:rPr>
                <w:rFonts w:ascii="Calibri" w:hAnsi="Calibri"/>
                <w:color w:val="000000"/>
                <w:sz w:val="16"/>
                <w:szCs w:val="16"/>
              </w:rPr>
              <w:t>diésel</w:t>
            </w:r>
            <w:r w:rsidRPr="00075367">
              <w:rPr>
                <w:rFonts w:ascii="Calibri" w:hAnsi="Calibri"/>
                <w:color w:val="000000"/>
                <w:sz w:val="16"/>
                <w:szCs w:val="16"/>
              </w:rPr>
              <w:t>.</w:t>
            </w:r>
          </w:p>
        </w:tc>
        <w:tc>
          <w:tcPr>
            <w:tcW w:w="4579" w:type="dxa"/>
            <w:shd w:val="clear" w:color="auto" w:fill="EFF5FB"/>
            <w:vAlign w:val="center"/>
          </w:tcPr>
          <w:p w14:paraId="35446B85" w14:textId="4D67AE8F"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 xml:space="preserve">Define los equipos y procedimientos de medición de emisiones de contaminantes producidos por fuentes móviles terrestres a gasolina o </w:t>
            </w:r>
            <w:r w:rsidR="00A75C30" w:rsidRPr="00075367">
              <w:rPr>
                <w:rFonts w:ascii="Calibri" w:hAnsi="Calibri"/>
                <w:color w:val="000000"/>
                <w:sz w:val="16"/>
                <w:szCs w:val="16"/>
              </w:rPr>
              <w:t>diésel</w:t>
            </w:r>
            <w:r w:rsidRPr="00075367">
              <w:rPr>
                <w:rFonts w:ascii="Calibri" w:hAnsi="Calibri"/>
                <w:color w:val="000000"/>
                <w:sz w:val="16"/>
                <w:szCs w:val="16"/>
              </w:rPr>
              <w:t xml:space="preserve">, además </w:t>
            </w:r>
            <w:r w:rsidR="00A75C30" w:rsidRPr="00075367">
              <w:rPr>
                <w:rFonts w:ascii="Calibri" w:hAnsi="Calibri"/>
                <w:color w:val="000000"/>
                <w:sz w:val="16"/>
                <w:szCs w:val="16"/>
              </w:rPr>
              <w:t>prohíbe</w:t>
            </w:r>
            <w:r w:rsidRPr="00075367">
              <w:rPr>
                <w:rFonts w:ascii="Calibri" w:hAnsi="Calibri"/>
                <w:color w:val="000000"/>
                <w:sz w:val="16"/>
                <w:szCs w:val="16"/>
              </w:rPr>
              <w:t xml:space="preserve"> la descarga al aire de Monóxido de Carbono, Hidrocarburos y partículas por parte de cualquier persona que </w:t>
            </w:r>
            <w:proofErr w:type="gramStart"/>
            <w:r w:rsidRPr="00075367">
              <w:rPr>
                <w:rFonts w:ascii="Calibri" w:hAnsi="Calibri"/>
                <w:color w:val="000000"/>
                <w:sz w:val="16"/>
                <w:szCs w:val="16"/>
              </w:rPr>
              <w:t>opere  una</w:t>
            </w:r>
            <w:proofErr w:type="gramEnd"/>
            <w:r w:rsidRPr="00075367">
              <w:rPr>
                <w:rFonts w:ascii="Calibri" w:hAnsi="Calibri"/>
                <w:color w:val="000000"/>
                <w:sz w:val="16"/>
                <w:szCs w:val="16"/>
              </w:rPr>
              <w:t xml:space="preserve"> fuente móvil de contaminación del aire.</w:t>
            </w:r>
          </w:p>
        </w:tc>
      </w:tr>
      <w:tr w:rsidR="00075367" w14:paraId="73258C61" w14:textId="77777777" w:rsidTr="008014E8">
        <w:tc>
          <w:tcPr>
            <w:tcW w:w="2122" w:type="dxa"/>
            <w:shd w:val="clear" w:color="auto" w:fill="EFF5FB"/>
            <w:vAlign w:val="center"/>
          </w:tcPr>
          <w:p w14:paraId="7B491EE5" w14:textId="490B9468"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Decreto 2107 de 1995</w:t>
            </w:r>
          </w:p>
        </w:tc>
        <w:tc>
          <w:tcPr>
            <w:tcW w:w="2693" w:type="dxa"/>
            <w:shd w:val="clear" w:color="auto" w:fill="EFF5FB"/>
            <w:vAlign w:val="center"/>
          </w:tcPr>
          <w:p w14:paraId="3F332975" w14:textId="5C49471A"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 xml:space="preserve"> Por medio del cual se modifica parcialmente el Decreto 948 de 1993.</w:t>
            </w:r>
          </w:p>
        </w:tc>
        <w:tc>
          <w:tcPr>
            <w:tcW w:w="4579" w:type="dxa"/>
            <w:shd w:val="clear" w:color="auto" w:fill="EFF5FB"/>
            <w:vAlign w:val="center"/>
          </w:tcPr>
          <w:p w14:paraId="28CA477F" w14:textId="0939D4B3"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 xml:space="preserve">Prohibición de uso de crudos pesados, quemas abiertas en áreas rurales, emisiones de vehículos </w:t>
            </w:r>
            <w:r w:rsidR="00A75C30" w:rsidRPr="00075367">
              <w:rPr>
                <w:rFonts w:ascii="Calibri" w:hAnsi="Calibri"/>
                <w:color w:val="000000"/>
                <w:sz w:val="16"/>
                <w:szCs w:val="16"/>
              </w:rPr>
              <w:t>diésel</w:t>
            </w:r>
            <w:r w:rsidRPr="00075367">
              <w:rPr>
                <w:rFonts w:ascii="Calibri" w:hAnsi="Calibri"/>
                <w:color w:val="000000"/>
                <w:sz w:val="16"/>
                <w:szCs w:val="16"/>
              </w:rPr>
              <w:t xml:space="preserve">, solicitud de permiso, trámite de permiso de emisión </w:t>
            </w:r>
            <w:r w:rsidR="00A75C30" w:rsidRPr="00075367">
              <w:rPr>
                <w:rFonts w:ascii="Calibri" w:hAnsi="Calibri"/>
                <w:color w:val="000000"/>
                <w:sz w:val="16"/>
                <w:szCs w:val="16"/>
              </w:rPr>
              <w:t>atmosférica</w:t>
            </w:r>
            <w:r w:rsidRPr="00075367">
              <w:rPr>
                <w:rFonts w:ascii="Calibri" w:hAnsi="Calibri"/>
                <w:color w:val="000000"/>
                <w:sz w:val="16"/>
                <w:szCs w:val="16"/>
              </w:rPr>
              <w:t xml:space="preserve">, vigencia, alcance y renovación del permiso, evaluación de emisiones de vehículos automotores, rendición del informe </w:t>
            </w:r>
            <w:proofErr w:type="gramStart"/>
            <w:r w:rsidRPr="00075367">
              <w:rPr>
                <w:rFonts w:ascii="Calibri" w:hAnsi="Calibri"/>
                <w:color w:val="000000"/>
                <w:sz w:val="16"/>
                <w:szCs w:val="16"/>
              </w:rPr>
              <w:t>de  estado</w:t>
            </w:r>
            <w:proofErr w:type="gramEnd"/>
            <w:r w:rsidRPr="00075367">
              <w:rPr>
                <w:rFonts w:ascii="Calibri" w:hAnsi="Calibri"/>
                <w:color w:val="000000"/>
                <w:sz w:val="16"/>
                <w:szCs w:val="16"/>
              </w:rPr>
              <w:t xml:space="preserve"> de emisiones, oportunidad y requisitos, aplicación de normas y estándares para fuentes fijas , clasificación de industrias o actividades contaminantes, sanciones para vehículos automotores. </w:t>
            </w:r>
          </w:p>
        </w:tc>
      </w:tr>
      <w:tr w:rsidR="00075367" w14:paraId="01E7A82F" w14:textId="77777777" w:rsidTr="008014E8">
        <w:tc>
          <w:tcPr>
            <w:tcW w:w="2122" w:type="dxa"/>
            <w:shd w:val="clear" w:color="auto" w:fill="EFF5FB"/>
            <w:vAlign w:val="center"/>
          </w:tcPr>
          <w:p w14:paraId="02875CC1" w14:textId="748F0349"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Acuerdo 23 de 1999</w:t>
            </w:r>
          </w:p>
        </w:tc>
        <w:tc>
          <w:tcPr>
            <w:tcW w:w="2693" w:type="dxa"/>
            <w:shd w:val="clear" w:color="auto" w:fill="EFF5FB"/>
            <w:vAlign w:val="center"/>
          </w:tcPr>
          <w:p w14:paraId="1DFE00CD" w14:textId="4AC730AB"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 xml:space="preserve">Evaluación de emisiones de gases y otros </w:t>
            </w:r>
            <w:r w:rsidR="00A75C30" w:rsidRPr="00075367">
              <w:rPr>
                <w:rFonts w:ascii="Calibri" w:hAnsi="Calibri"/>
                <w:color w:val="000000"/>
                <w:sz w:val="16"/>
                <w:szCs w:val="16"/>
              </w:rPr>
              <w:t>contaminantes</w:t>
            </w:r>
            <w:r w:rsidRPr="00075367">
              <w:rPr>
                <w:rFonts w:ascii="Calibri" w:hAnsi="Calibri"/>
                <w:color w:val="000000"/>
                <w:sz w:val="16"/>
                <w:szCs w:val="16"/>
              </w:rPr>
              <w:t xml:space="preserve"> emitidos por vehículos automotores con el fin de proteger el aire del Distrito Capital.</w:t>
            </w:r>
          </w:p>
        </w:tc>
        <w:tc>
          <w:tcPr>
            <w:tcW w:w="4579" w:type="dxa"/>
            <w:shd w:val="clear" w:color="auto" w:fill="EFF5FB"/>
            <w:vAlign w:val="center"/>
          </w:tcPr>
          <w:p w14:paraId="34718427" w14:textId="52973F86"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Tiene por objeto establecer la evaluación y los mecanismos de control de los gases y otros contaminantes producidos por los vehículos automotores que circulan en el Distrito Capital.</w:t>
            </w:r>
          </w:p>
        </w:tc>
      </w:tr>
      <w:tr w:rsidR="00075367" w14:paraId="00947624" w14:textId="77777777" w:rsidTr="008014E8">
        <w:tc>
          <w:tcPr>
            <w:tcW w:w="2122" w:type="dxa"/>
            <w:shd w:val="clear" w:color="auto" w:fill="EFF5FB"/>
            <w:vAlign w:val="center"/>
          </w:tcPr>
          <w:p w14:paraId="420F1A4E" w14:textId="0F6CCF0D"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Acuerdo 79 de 2003</w:t>
            </w:r>
          </w:p>
        </w:tc>
        <w:tc>
          <w:tcPr>
            <w:tcW w:w="2693" w:type="dxa"/>
            <w:shd w:val="clear" w:color="auto" w:fill="EFF5FB"/>
            <w:vAlign w:val="center"/>
          </w:tcPr>
          <w:p w14:paraId="5870EB17" w14:textId="030EDF5E"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 xml:space="preserve">Código de </w:t>
            </w:r>
            <w:r w:rsidR="00A75C30" w:rsidRPr="00075367">
              <w:rPr>
                <w:rFonts w:ascii="Calibri" w:hAnsi="Calibri"/>
                <w:color w:val="000000"/>
                <w:sz w:val="16"/>
                <w:szCs w:val="16"/>
              </w:rPr>
              <w:t>Policía</w:t>
            </w:r>
            <w:r w:rsidRPr="00075367">
              <w:rPr>
                <w:rFonts w:ascii="Calibri" w:hAnsi="Calibri"/>
                <w:color w:val="000000"/>
                <w:sz w:val="16"/>
                <w:szCs w:val="16"/>
              </w:rPr>
              <w:t xml:space="preserve"> del Distrito Capital</w:t>
            </w:r>
          </w:p>
        </w:tc>
        <w:tc>
          <w:tcPr>
            <w:tcW w:w="4579" w:type="dxa"/>
            <w:shd w:val="clear" w:color="auto" w:fill="EFF5FB"/>
            <w:vAlign w:val="center"/>
          </w:tcPr>
          <w:p w14:paraId="7EF7B981" w14:textId="30C67F23"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 xml:space="preserve">Este </w:t>
            </w:r>
            <w:r w:rsidR="00A75C30" w:rsidRPr="00075367">
              <w:rPr>
                <w:rFonts w:ascii="Calibri" w:hAnsi="Calibri"/>
                <w:color w:val="000000"/>
                <w:sz w:val="16"/>
                <w:szCs w:val="16"/>
              </w:rPr>
              <w:t>código</w:t>
            </w:r>
            <w:r w:rsidRPr="00075367">
              <w:rPr>
                <w:rFonts w:ascii="Calibri" w:hAnsi="Calibri"/>
                <w:color w:val="000000"/>
                <w:sz w:val="16"/>
                <w:szCs w:val="16"/>
              </w:rPr>
              <w:t xml:space="preserve"> comprende las reglas </w:t>
            </w:r>
            <w:proofErr w:type="gramStart"/>
            <w:r w:rsidRPr="00075367">
              <w:rPr>
                <w:rFonts w:ascii="Calibri" w:hAnsi="Calibri"/>
                <w:color w:val="000000"/>
                <w:sz w:val="16"/>
                <w:szCs w:val="16"/>
              </w:rPr>
              <w:t>mínimas  que</w:t>
            </w:r>
            <w:proofErr w:type="gramEnd"/>
            <w:r w:rsidRPr="00075367">
              <w:rPr>
                <w:rFonts w:ascii="Calibri" w:hAnsi="Calibri"/>
                <w:color w:val="000000"/>
                <w:sz w:val="16"/>
                <w:szCs w:val="16"/>
              </w:rPr>
              <w:t xml:space="preserve"> deben respetar y cumplir todas las personas  en el Distrito para propender por una sana convivencia ciudadana.</w:t>
            </w:r>
          </w:p>
        </w:tc>
      </w:tr>
      <w:tr w:rsidR="00075367" w14:paraId="5F6CF3C1" w14:textId="77777777" w:rsidTr="008014E8">
        <w:tc>
          <w:tcPr>
            <w:tcW w:w="2122" w:type="dxa"/>
            <w:shd w:val="clear" w:color="auto" w:fill="EFF5FB"/>
            <w:vAlign w:val="center"/>
          </w:tcPr>
          <w:p w14:paraId="61AA31D7" w14:textId="26C5E482"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Resolución 1208 de 2003 DAMA</w:t>
            </w:r>
          </w:p>
        </w:tc>
        <w:tc>
          <w:tcPr>
            <w:tcW w:w="2693" w:type="dxa"/>
            <w:shd w:val="clear" w:color="auto" w:fill="EFF5FB"/>
            <w:vAlign w:val="center"/>
          </w:tcPr>
          <w:p w14:paraId="5946DE58" w14:textId="10DC1C2E"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Normas sobre la prevención y control de la contaminación atmosférica por fuentes fijas y protección de la calidad del aire.</w:t>
            </w:r>
          </w:p>
        </w:tc>
        <w:tc>
          <w:tcPr>
            <w:tcW w:w="4579" w:type="dxa"/>
            <w:shd w:val="clear" w:color="auto" w:fill="EFF5FB"/>
            <w:vAlign w:val="center"/>
          </w:tcPr>
          <w:p w14:paraId="0ECCBCA0" w14:textId="6731D917"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Establece las normas técnicas y estándares ambientales para la prevención y control de la contaminación atmosférica y la protección de la calidad del aire en el perímetro urbano del Distrito.</w:t>
            </w:r>
          </w:p>
        </w:tc>
      </w:tr>
      <w:tr w:rsidR="00075367" w14:paraId="6DC15467" w14:textId="77777777" w:rsidTr="008014E8">
        <w:tc>
          <w:tcPr>
            <w:tcW w:w="2122" w:type="dxa"/>
            <w:shd w:val="clear" w:color="auto" w:fill="EFF5FB"/>
            <w:vAlign w:val="center"/>
          </w:tcPr>
          <w:p w14:paraId="4BFA4C83" w14:textId="7E623306"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Resolución 1699 de 2003 DAMA</w:t>
            </w:r>
          </w:p>
        </w:tc>
        <w:tc>
          <w:tcPr>
            <w:tcW w:w="2693" w:type="dxa"/>
            <w:shd w:val="clear" w:color="auto" w:fill="EFF5FB"/>
            <w:vAlign w:val="center"/>
          </w:tcPr>
          <w:p w14:paraId="5C5627C3" w14:textId="184C6E0F"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Programa de iniciativa de Aire Limpio de Bogotá D.C. y se dictan otras disposiciones.</w:t>
            </w:r>
          </w:p>
        </w:tc>
        <w:tc>
          <w:tcPr>
            <w:tcW w:w="4579" w:type="dxa"/>
            <w:shd w:val="clear" w:color="auto" w:fill="EFF5FB"/>
            <w:vAlign w:val="center"/>
          </w:tcPr>
          <w:p w14:paraId="70404C70" w14:textId="4726F91C"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 xml:space="preserve">Reglamenta el Programa de Aire </w:t>
            </w:r>
            <w:proofErr w:type="gramStart"/>
            <w:r w:rsidRPr="00075367">
              <w:rPr>
                <w:rFonts w:ascii="Calibri" w:hAnsi="Calibri"/>
                <w:color w:val="000000"/>
                <w:sz w:val="16"/>
                <w:szCs w:val="16"/>
              </w:rPr>
              <w:t>Limpio  en</w:t>
            </w:r>
            <w:proofErr w:type="gramEnd"/>
            <w:r w:rsidRPr="00075367">
              <w:rPr>
                <w:rFonts w:ascii="Calibri" w:hAnsi="Calibri"/>
                <w:color w:val="000000"/>
                <w:sz w:val="16"/>
                <w:szCs w:val="16"/>
              </w:rPr>
              <w:t xml:space="preserve"> Bogotá, en el cual se establece que la iniciativa procura mejorar la calidad del aire a fin de proteger la salud de sus ciudadanos.</w:t>
            </w:r>
          </w:p>
        </w:tc>
      </w:tr>
      <w:tr w:rsidR="00075367" w14:paraId="4464B062" w14:textId="77777777" w:rsidTr="008014E8">
        <w:tc>
          <w:tcPr>
            <w:tcW w:w="2122" w:type="dxa"/>
            <w:shd w:val="clear" w:color="auto" w:fill="EFF5FB"/>
            <w:vAlign w:val="center"/>
          </w:tcPr>
          <w:p w14:paraId="38A90DC1" w14:textId="3D2F81D6"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Resolución 2006 de 2003 DAMA</w:t>
            </w:r>
          </w:p>
        </w:tc>
        <w:tc>
          <w:tcPr>
            <w:tcW w:w="2693" w:type="dxa"/>
            <w:shd w:val="clear" w:color="auto" w:fill="EFF5FB"/>
            <w:vAlign w:val="center"/>
          </w:tcPr>
          <w:p w14:paraId="4881743D" w14:textId="6294C056"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 xml:space="preserve">Por lo cual se adopta el documento marco para la </w:t>
            </w:r>
            <w:proofErr w:type="gramStart"/>
            <w:r w:rsidRPr="00075367">
              <w:rPr>
                <w:rFonts w:ascii="Calibri" w:hAnsi="Calibri"/>
                <w:color w:val="000000"/>
                <w:sz w:val="16"/>
                <w:szCs w:val="16"/>
              </w:rPr>
              <w:t>elaboración  e</w:t>
            </w:r>
            <w:proofErr w:type="gramEnd"/>
            <w:r w:rsidRPr="00075367">
              <w:rPr>
                <w:rFonts w:ascii="Calibri" w:hAnsi="Calibri"/>
                <w:color w:val="000000"/>
                <w:sz w:val="16"/>
                <w:szCs w:val="16"/>
              </w:rPr>
              <w:t xml:space="preserve"> implementación del convenio de producción más limpia  en el Distrito Capital</w:t>
            </w:r>
          </w:p>
        </w:tc>
        <w:tc>
          <w:tcPr>
            <w:tcW w:w="4579" w:type="dxa"/>
            <w:shd w:val="clear" w:color="auto" w:fill="EFF5FB"/>
            <w:vAlign w:val="center"/>
          </w:tcPr>
          <w:p w14:paraId="295531D0" w14:textId="7FA39C06"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Define y establece los requisitos del convenio de producción limpia.</w:t>
            </w:r>
          </w:p>
        </w:tc>
      </w:tr>
      <w:tr w:rsidR="00075367" w14:paraId="0F2929CF" w14:textId="77777777" w:rsidTr="008014E8">
        <w:tc>
          <w:tcPr>
            <w:tcW w:w="2122" w:type="dxa"/>
            <w:shd w:val="clear" w:color="auto" w:fill="EFF5FB"/>
            <w:vAlign w:val="center"/>
          </w:tcPr>
          <w:p w14:paraId="3BD67270" w14:textId="42A58AE4"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Resolución 909 de 2008 Ministerio de Ambiente, Vivienda y Desarrollo Territorial</w:t>
            </w:r>
          </w:p>
        </w:tc>
        <w:tc>
          <w:tcPr>
            <w:tcW w:w="2693" w:type="dxa"/>
            <w:shd w:val="clear" w:color="auto" w:fill="EFF5FB"/>
            <w:vAlign w:val="center"/>
          </w:tcPr>
          <w:p w14:paraId="2CF109D5" w14:textId="63CE1847"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Por la cual se establecen las normas y estándares de emisión admisibles de contaminantes a la atmósfera por fuentes fijas y se dictan otras disposiciones</w:t>
            </w:r>
          </w:p>
        </w:tc>
        <w:tc>
          <w:tcPr>
            <w:tcW w:w="4579" w:type="dxa"/>
            <w:shd w:val="clear" w:color="auto" w:fill="EFF5FB"/>
            <w:vAlign w:val="center"/>
          </w:tcPr>
          <w:p w14:paraId="3612ED5F" w14:textId="7486589F"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Establece las normas y los estándares de emisión admisibles de contaminantes al aire para fuentes fijas, adopta los procedimientos de medición de emisiones para fuentes fijas y reglamenta los convenios de reconversión a tecnologías limpias, las cuales serán aplicables para todas las actividades industriales, los equipos de combustión externa, instalaciones de incineración y hornos crematorios, industrias de producción de cemento, concreto y agregados, y en lo relacionado con el control de emisiones molestas, aplica además a todos los establecimientos de comercio y de servicio.</w:t>
            </w:r>
          </w:p>
        </w:tc>
      </w:tr>
      <w:tr w:rsidR="00075367" w14:paraId="3265D97B" w14:textId="77777777" w:rsidTr="008014E8">
        <w:tc>
          <w:tcPr>
            <w:tcW w:w="2122" w:type="dxa"/>
            <w:shd w:val="clear" w:color="auto" w:fill="EFF5FB"/>
            <w:vAlign w:val="center"/>
          </w:tcPr>
          <w:p w14:paraId="30C2EBDF" w14:textId="6102BD20"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 xml:space="preserve">Resolución 910 de 2008 Ministerio de Ambiente, </w:t>
            </w:r>
            <w:r w:rsidRPr="00075367">
              <w:rPr>
                <w:rFonts w:ascii="Calibri" w:hAnsi="Calibri"/>
                <w:color w:val="000000"/>
                <w:sz w:val="16"/>
                <w:szCs w:val="16"/>
              </w:rPr>
              <w:lastRenderedPageBreak/>
              <w:t>Vivienda y Desarrollo Territorial</w:t>
            </w:r>
          </w:p>
        </w:tc>
        <w:tc>
          <w:tcPr>
            <w:tcW w:w="2693" w:type="dxa"/>
            <w:shd w:val="clear" w:color="auto" w:fill="EFF5FB"/>
            <w:vAlign w:val="center"/>
          </w:tcPr>
          <w:p w14:paraId="40DF8C40" w14:textId="411E6E16"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lastRenderedPageBreak/>
              <w:t xml:space="preserve">Por la cual se reglamentan los niveles permisibles de emisión de contaminantes que deberán cumplir </w:t>
            </w:r>
            <w:r w:rsidRPr="00075367">
              <w:rPr>
                <w:rFonts w:ascii="Calibri" w:hAnsi="Calibri"/>
                <w:color w:val="000000"/>
                <w:sz w:val="16"/>
                <w:szCs w:val="16"/>
              </w:rPr>
              <w:lastRenderedPageBreak/>
              <w:t>las fuentes móviles terrestres, se reglamenta el artículo 91 del Decreto 948 de 1995 y se adoptan otras disposiciones</w:t>
            </w:r>
          </w:p>
        </w:tc>
        <w:tc>
          <w:tcPr>
            <w:tcW w:w="4579" w:type="dxa"/>
            <w:shd w:val="clear" w:color="auto" w:fill="EFF5FB"/>
            <w:vAlign w:val="center"/>
          </w:tcPr>
          <w:p w14:paraId="5B143C9A" w14:textId="47720654"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lastRenderedPageBreak/>
              <w:t xml:space="preserve">Establece los niveles máximos permisibles de emisión de contaminantes que deben cumplir las fuentes móviles terrestres, reglamenta los requisitos y certificaciones a las que están sujetos </w:t>
            </w:r>
            <w:r w:rsidRPr="00075367">
              <w:rPr>
                <w:rFonts w:ascii="Calibri" w:hAnsi="Calibri"/>
                <w:color w:val="000000"/>
                <w:sz w:val="16"/>
                <w:szCs w:val="16"/>
              </w:rPr>
              <w:lastRenderedPageBreak/>
              <w:t>los vehículos y demás fuentes móviles, sean importadas o de fabricación nacional, señalando las excepciones respectivas.</w:t>
            </w:r>
          </w:p>
        </w:tc>
      </w:tr>
      <w:tr w:rsidR="00075367" w14:paraId="7D042C5D" w14:textId="77777777" w:rsidTr="008014E8">
        <w:tc>
          <w:tcPr>
            <w:tcW w:w="2122" w:type="dxa"/>
            <w:shd w:val="clear" w:color="auto" w:fill="EFF5FB"/>
            <w:vAlign w:val="center"/>
          </w:tcPr>
          <w:p w14:paraId="1C84B7E2" w14:textId="7C69912A"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lastRenderedPageBreak/>
              <w:t>Acuerdo 367 de 2009 Concejo de Bogotá D.C.</w:t>
            </w:r>
          </w:p>
        </w:tc>
        <w:tc>
          <w:tcPr>
            <w:tcW w:w="2693" w:type="dxa"/>
            <w:shd w:val="clear" w:color="auto" w:fill="EFF5FB"/>
            <w:vAlign w:val="center"/>
          </w:tcPr>
          <w:p w14:paraId="2A8F1D83" w14:textId="78F2F17D"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Por el cual se insta a la Administración Distrital a que informe de manera permanente, pública y masiva el estado de la contaminación atmosférica en la ciudad de Bogotá, D. C., y se dictan otras disposiciones</w:t>
            </w:r>
          </w:p>
        </w:tc>
        <w:tc>
          <w:tcPr>
            <w:tcW w:w="4579" w:type="dxa"/>
            <w:shd w:val="clear" w:color="auto" w:fill="EFF5FB"/>
            <w:vAlign w:val="center"/>
          </w:tcPr>
          <w:p w14:paraId="4F6BFE36" w14:textId="1B2744B8"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 xml:space="preserve">Establece que la información de las Estaciones de la Red de Monitoreo de Calidad del Aire de Bogotá RMCAB, será permanente, pública y masiva, y deberá ser publicada, máximo dentro de las 12 horas siguientes a la recepción de los datos, en la página Web de la Secretaría Distrital de Ambiente y suministrada a </w:t>
            </w:r>
            <w:proofErr w:type="gramStart"/>
            <w:r w:rsidRPr="00075367">
              <w:rPr>
                <w:rFonts w:ascii="Calibri" w:hAnsi="Calibri"/>
                <w:color w:val="000000"/>
                <w:sz w:val="16"/>
                <w:szCs w:val="16"/>
              </w:rPr>
              <w:t>medios masivos de comunicación</w:t>
            </w:r>
            <w:proofErr w:type="gramEnd"/>
            <w:r w:rsidRPr="00075367">
              <w:rPr>
                <w:rFonts w:ascii="Calibri" w:hAnsi="Calibri"/>
                <w:color w:val="000000"/>
                <w:sz w:val="16"/>
                <w:szCs w:val="16"/>
              </w:rPr>
              <w:t xml:space="preserve">. Dicha Secretaría habilitará la medición del CO2 y en coordinación con la Secretaría Distrital de Movilidad, la articularán con el Sistema Integrado de Transporte </w:t>
            </w:r>
            <w:proofErr w:type="gramStart"/>
            <w:r w:rsidRPr="00075367">
              <w:rPr>
                <w:rFonts w:ascii="Calibri" w:hAnsi="Calibri"/>
                <w:color w:val="000000"/>
                <w:sz w:val="16"/>
                <w:szCs w:val="16"/>
              </w:rPr>
              <w:t>Público  SIPT</w:t>
            </w:r>
            <w:proofErr w:type="gramEnd"/>
            <w:r w:rsidRPr="00075367">
              <w:rPr>
                <w:rFonts w:ascii="Calibri" w:hAnsi="Calibri"/>
                <w:color w:val="000000"/>
                <w:sz w:val="16"/>
                <w:szCs w:val="16"/>
              </w:rPr>
              <w:t>.</w:t>
            </w:r>
          </w:p>
        </w:tc>
      </w:tr>
      <w:tr w:rsidR="00075367" w14:paraId="0BA26233" w14:textId="77777777" w:rsidTr="008014E8">
        <w:tc>
          <w:tcPr>
            <w:tcW w:w="2122" w:type="dxa"/>
            <w:shd w:val="clear" w:color="auto" w:fill="EFF5FB"/>
            <w:vAlign w:val="center"/>
          </w:tcPr>
          <w:p w14:paraId="0BC5F964" w14:textId="4C840782"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Resolución 610 de 2010 Ministerio de Ambiente, Vivienda y Desarrollo Territorial</w:t>
            </w:r>
          </w:p>
        </w:tc>
        <w:tc>
          <w:tcPr>
            <w:tcW w:w="2693" w:type="dxa"/>
            <w:shd w:val="clear" w:color="auto" w:fill="EFF5FB"/>
            <w:vAlign w:val="center"/>
          </w:tcPr>
          <w:p w14:paraId="44FD2A93" w14:textId="0020D6B4"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Por la cual se modifica la Resolución 601 del 4 de abril de 2006.</w:t>
            </w:r>
          </w:p>
        </w:tc>
        <w:tc>
          <w:tcPr>
            <w:tcW w:w="4579" w:type="dxa"/>
            <w:shd w:val="clear" w:color="auto" w:fill="EFF5FB"/>
            <w:vAlign w:val="center"/>
          </w:tcPr>
          <w:p w14:paraId="3F571A8D" w14:textId="06D96E04"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br/>
              <w:t>Modifica la Resolución 601 de 2006 por la cual se establece la Norma de Calidad del Aire o Nivel de Inmisión, para todo el territorio nacional en condiciones de referencia, respecto de algunas definiciones, los niveles máximos permisibles para contaminantes criterio, niveles máximos permisibles para contaminantes no convencionales con efectos carcinogénicos y umbrales para las principales sustancias generadoras de olores ofensivos, procedimientos de medición de la calidad del aire, mediciones de calidad del aire por las autoridades ambientales, declaración de los niveles de prevención, alerta y emergencia por contaminación del aire.</w:t>
            </w:r>
          </w:p>
        </w:tc>
      </w:tr>
      <w:tr w:rsidR="00075367" w14:paraId="020A1DDF" w14:textId="77777777" w:rsidTr="008014E8">
        <w:tc>
          <w:tcPr>
            <w:tcW w:w="2122" w:type="dxa"/>
            <w:shd w:val="clear" w:color="auto" w:fill="EFF5FB"/>
            <w:vAlign w:val="center"/>
          </w:tcPr>
          <w:p w14:paraId="62B6CC41" w14:textId="5E5E52E3"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 xml:space="preserve"> Resolución 650 de 2010 Ministerio de Ambiente, Vivienda y Desarrollo Territorial</w:t>
            </w:r>
          </w:p>
        </w:tc>
        <w:tc>
          <w:tcPr>
            <w:tcW w:w="2693" w:type="dxa"/>
            <w:shd w:val="clear" w:color="auto" w:fill="EFF5FB"/>
            <w:vAlign w:val="center"/>
          </w:tcPr>
          <w:p w14:paraId="19C6C763" w14:textId="639EC8F6"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Por la cual se adopta el Protocolo para el Monitoreo y Seguimiento de la Calidad del Aire</w:t>
            </w:r>
          </w:p>
        </w:tc>
        <w:tc>
          <w:tcPr>
            <w:tcW w:w="4579" w:type="dxa"/>
            <w:shd w:val="clear" w:color="auto" w:fill="EFF5FB"/>
            <w:vAlign w:val="center"/>
          </w:tcPr>
          <w:p w14:paraId="79DBD869" w14:textId="5D90759C"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 xml:space="preserve">Adopta el protocolo para el Monitoreo y Seguimiento de la Calidad del Aire compuesto por dos manuales, uno sobre Diseño de Sistemas de Vigilancia de la Calidad del Aire y el otro sobre ¿Operación de Sistemas de Vigilancia de la Calidad del </w:t>
            </w:r>
            <w:proofErr w:type="gramStart"/>
            <w:r w:rsidRPr="00075367">
              <w:rPr>
                <w:rFonts w:ascii="Calibri" w:hAnsi="Calibri"/>
                <w:color w:val="000000"/>
                <w:sz w:val="16"/>
                <w:szCs w:val="16"/>
              </w:rPr>
              <w:t>Aire¿ tendientes</w:t>
            </w:r>
            <w:proofErr w:type="gramEnd"/>
            <w:r w:rsidRPr="00075367">
              <w:rPr>
                <w:rFonts w:ascii="Calibri" w:hAnsi="Calibri"/>
                <w:color w:val="000000"/>
                <w:sz w:val="16"/>
                <w:szCs w:val="16"/>
              </w:rPr>
              <w:t xml:space="preserve"> a establecer las directrices, metodologías y procedimientos necesarios para llevar a cabo estas actividades en el territorio nacional.</w:t>
            </w:r>
          </w:p>
        </w:tc>
      </w:tr>
      <w:tr w:rsidR="00075367" w14:paraId="10065137" w14:textId="77777777" w:rsidTr="008014E8">
        <w:tc>
          <w:tcPr>
            <w:tcW w:w="2122" w:type="dxa"/>
            <w:shd w:val="clear" w:color="auto" w:fill="EFF5FB"/>
            <w:vAlign w:val="center"/>
          </w:tcPr>
          <w:p w14:paraId="379B4029" w14:textId="09FCBF43"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Resolución 2154 de 2010 Ministerio de Ambiente, Vivienda y Desarrollo Territorial</w:t>
            </w:r>
          </w:p>
        </w:tc>
        <w:tc>
          <w:tcPr>
            <w:tcW w:w="2693" w:type="dxa"/>
            <w:shd w:val="clear" w:color="auto" w:fill="EFF5FB"/>
            <w:vAlign w:val="center"/>
          </w:tcPr>
          <w:p w14:paraId="59F93345" w14:textId="40421BCC"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Por la cual se ajusta el Protocolo para el Monitoreo y Seguimiento de la Calidad del Aire adoptado a través de la Resolución 650 de 2010 y se adoptan otras disposiciones.</w:t>
            </w:r>
          </w:p>
        </w:tc>
        <w:tc>
          <w:tcPr>
            <w:tcW w:w="4579" w:type="dxa"/>
            <w:shd w:val="clear" w:color="auto" w:fill="EFF5FB"/>
            <w:vAlign w:val="center"/>
          </w:tcPr>
          <w:p w14:paraId="4830B7C1" w14:textId="43312C43"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Modifica el Protocolo para el Monitoreo y Seguimiento de la Calidad del Aire.</w:t>
            </w:r>
            <w:r w:rsidRPr="00075367">
              <w:rPr>
                <w:rFonts w:ascii="Calibri" w:hAnsi="Calibri"/>
                <w:color w:val="000000"/>
                <w:sz w:val="16"/>
                <w:szCs w:val="16"/>
              </w:rPr>
              <w:br/>
              <w:t xml:space="preserve"> </w:t>
            </w:r>
          </w:p>
        </w:tc>
      </w:tr>
      <w:tr w:rsidR="00075367" w14:paraId="46C861BC" w14:textId="77777777" w:rsidTr="008014E8">
        <w:tc>
          <w:tcPr>
            <w:tcW w:w="2122" w:type="dxa"/>
            <w:shd w:val="clear" w:color="auto" w:fill="EFF5FB"/>
            <w:vAlign w:val="center"/>
          </w:tcPr>
          <w:p w14:paraId="506810F9" w14:textId="507BE74C"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Decreto 98 de 2011 Alcaldía Mayor de Bogotá, D.C.</w:t>
            </w:r>
          </w:p>
        </w:tc>
        <w:tc>
          <w:tcPr>
            <w:tcW w:w="2693" w:type="dxa"/>
            <w:shd w:val="clear" w:color="auto" w:fill="EFF5FB"/>
            <w:vAlign w:val="center"/>
          </w:tcPr>
          <w:p w14:paraId="435FFD98" w14:textId="3C652A19"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Por el cual se adopta el Plan Decenal de Descontaminación del Aire para Bogotá</w:t>
            </w:r>
          </w:p>
        </w:tc>
        <w:tc>
          <w:tcPr>
            <w:tcW w:w="4579" w:type="dxa"/>
            <w:shd w:val="clear" w:color="auto" w:fill="EFF5FB"/>
            <w:vAlign w:val="center"/>
          </w:tcPr>
          <w:p w14:paraId="54908197" w14:textId="100CD29B"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Adopta el Plan Decenal de Descontaminación del Aire para Bogotá siendo éste el instrumento de planeación a corto y mediano plazo para el Distrito Capital, que orienta las acciones progresivas de los actores distritales tendientes a la descontaminación del aire de la ciudad, con el propósito de prevenir y minimizar los impactos al ambiente y a la salud de los residentes.</w:t>
            </w:r>
          </w:p>
        </w:tc>
      </w:tr>
      <w:tr w:rsidR="00075367" w14:paraId="274230DA" w14:textId="77777777" w:rsidTr="008014E8">
        <w:tc>
          <w:tcPr>
            <w:tcW w:w="2122" w:type="dxa"/>
            <w:shd w:val="clear" w:color="auto" w:fill="EFF5FB"/>
            <w:vAlign w:val="center"/>
          </w:tcPr>
          <w:p w14:paraId="7C9D409C" w14:textId="56F84FC3"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Decreto 623 de 2011 Alcaldía Mayor de Bogotá, D.C.</w:t>
            </w:r>
          </w:p>
        </w:tc>
        <w:tc>
          <w:tcPr>
            <w:tcW w:w="2693" w:type="dxa"/>
            <w:shd w:val="clear" w:color="auto" w:fill="EFF5FB"/>
            <w:vAlign w:val="center"/>
          </w:tcPr>
          <w:p w14:paraId="37C4A200" w14:textId="0F18C24F"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Por medio del cual se clasifican las áreas-fuente de contaminación ambiental Clase I, II y III de Bogotá, D.C., y se dictan otras disposiciones</w:t>
            </w:r>
          </w:p>
        </w:tc>
        <w:tc>
          <w:tcPr>
            <w:tcW w:w="4579" w:type="dxa"/>
            <w:shd w:val="clear" w:color="auto" w:fill="EFF5FB"/>
            <w:vAlign w:val="center"/>
          </w:tcPr>
          <w:p w14:paraId="0D87A143" w14:textId="43E31BB4"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Clasifica las áreas-fuente de contaminación ambiental Clase I, II y III de Bogotá, D.C., así como adopta las medidas necesarias para la reducción de la contaminación por fuentes fijas en el Distrito Capital. En consideración al impacto sobre el medio ambiente las áreas fuentes de contaminación se clasifican en: Clase I, Clase II y Clase III, por material particulado menor o igual a 10 micras (PM10), siendo la Clase I la más contaminante. Para las fuentes móviles continúan vigentes las medidas adoptadas en los artículos 8, 9, 10 y 11 de Decreto 174 de 2006.</w:t>
            </w:r>
          </w:p>
        </w:tc>
      </w:tr>
      <w:tr w:rsidR="00075367" w14:paraId="64E0A8C7" w14:textId="77777777" w:rsidTr="008014E8">
        <w:tc>
          <w:tcPr>
            <w:tcW w:w="2122" w:type="dxa"/>
            <w:shd w:val="clear" w:color="auto" w:fill="EFF5FB"/>
            <w:vAlign w:val="center"/>
          </w:tcPr>
          <w:p w14:paraId="3C208640" w14:textId="7AAA9B68"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Resolución 935 de 2011 Instituto de Hidrología, Meteorología y Estudios Ambientales de Colombia - IDEAM</w:t>
            </w:r>
          </w:p>
        </w:tc>
        <w:tc>
          <w:tcPr>
            <w:tcW w:w="2693" w:type="dxa"/>
            <w:shd w:val="clear" w:color="auto" w:fill="EFF5FB"/>
            <w:vAlign w:val="center"/>
          </w:tcPr>
          <w:p w14:paraId="46CB21F0" w14:textId="77777777" w:rsidR="00075367" w:rsidRPr="00075367" w:rsidRDefault="00075367" w:rsidP="00075367">
            <w:pPr>
              <w:tabs>
                <w:tab w:val="left" w:pos="2577"/>
              </w:tabs>
              <w:spacing w:line="240" w:lineRule="auto"/>
              <w:ind w:firstLine="0"/>
              <w:rPr>
                <w:rFonts w:eastAsia="Arial" w:cs="Arial"/>
                <w:b/>
                <w:bCs/>
                <w:sz w:val="16"/>
                <w:szCs w:val="16"/>
              </w:rPr>
            </w:pPr>
          </w:p>
        </w:tc>
        <w:tc>
          <w:tcPr>
            <w:tcW w:w="4579" w:type="dxa"/>
            <w:shd w:val="clear" w:color="auto" w:fill="EFF5FB"/>
            <w:vAlign w:val="center"/>
          </w:tcPr>
          <w:p w14:paraId="79E1C21C" w14:textId="7E18EEDF" w:rsidR="00075367" w:rsidRPr="00075367" w:rsidRDefault="00075367" w:rsidP="00075367">
            <w:pPr>
              <w:tabs>
                <w:tab w:val="left" w:pos="2577"/>
              </w:tabs>
              <w:spacing w:line="240" w:lineRule="auto"/>
              <w:ind w:firstLine="0"/>
              <w:rPr>
                <w:rFonts w:eastAsia="Arial" w:cs="Arial"/>
                <w:b/>
                <w:bCs/>
                <w:sz w:val="16"/>
                <w:szCs w:val="16"/>
              </w:rPr>
            </w:pPr>
            <w:r w:rsidRPr="00075367">
              <w:rPr>
                <w:rFonts w:ascii="Calibri" w:hAnsi="Calibri"/>
                <w:color w:val="000000"/>
                <w:sz w:val="16"/>
                <w:szCs w:val="16"/>
              </w:rPr>
              <w:t>Establece a nivel nacional diez métodos para la evaluación de emisiones contaminantes por fuentes fijas y determina el número de pruebas o corridas para la ejecución de los métodos empleados para la evaluación de emisiones contaminantes en fuentes fijas.</w:t>
            </w:r>
            <w:r w:rsidRPr="00075367">
              <w:rPr>
                <w:rFonts w:ascii="Calibri" w:hAnsi="Calibri"/>
                <w:color w:val="000000"/>
                <w:sz w:val="16"/>
                <w:szCs w:val="16"/>
              </w:rPr>
              <w:br/>
              <w:t xml:space="preserve"> </w:t>
            </w:r>
          </w:p>
        </w:tc>
      </w:tr>
    </w:tbl>
    <w:p w14:paraId="745A977D" w14:textId="2BFD5E7D" w:rsidR="00066F0C" w:rsidRPr="008A6064" w:rsidRDefault="00E96915" w:rsidP="00E96915">
      <w:pPr>
        <w:pStyle w:val="Ttulo2"/>
        <w:spacing w:line="240" w:lineRule="auto"/>
        <w:ind w:firstLine="0"/>
      </w:pPr>
      <w:bookmarkStart w:id="9" w:name="_Toc57238603"/>
      <w:r>
        <w:lastRenderedPageBreak/>
        <w:t xml:space="preserve">1.5 </w:t>
      </w:r>
      <w:r w:rsidR="00066F0C" w:rsidRPr="008A6064">
        <w:t>Articulación entre la política y la gestión ambiental local.</w:t>
      </w:r>
      <w:bookmarkEnd w:id="9"/>
    </w:p>
    <w:p w14:paraId="3891E36E" w14:textId="60921174" w:rsidR="008A6064" w:rsidRDefault="006E47CA" w:rsidP="00E96915">
      <w:pPr>
        <w:pStyle w:val="Ttulo3"/>
        <w:spacing w:line="240" w:lineRule="auto"/>
        <w:ind w:firstLine="0"/>
      </w:pPr>
      <w:bookmarkStart w:id="10" w:name="_Toc57238604"/>
      <w:r>
        <w:t>1.</w:t>
      </w:r>
      <w:r w:rsidR="00E96915">
        <w:t>5</w:t>
      </w:r>
      <w:r>
        <w:t xml:space="preserve">.1 </w:t>
      </w:r>
      <w:r w:rsidR="00066F0C" w:rsidRPr="00066F0C">
        <w:t>Sistema Ambiental del Distrito Capital (SIAC).</w:t>
      </w:r>
      <w:bookmarkEnd w:id="10"/>
    </w:p>
    <w:p w14:paraId="6C9D06D3" w14:textId="63EFD5E8" w:rsidR="008A6064" w:rsidRPr="008A6064" w:rsidRDefault="008A6064" w:rsidP="00236BCC">
      <w:pPr>
        <w:pStyle w:val="Prrafodelista"/>
        <w:spacing w:after="0"/>
        <w:ind w:left="567"/>
        <w:jc w:val="both"/>
        <w:rPr>
          <w:b/>
          <w:bCs/>
        </w:rPr>
      </w:pPr>
      <w:r w:rsidRPr="008A6064">
        <w:t>Es el conjunto de normas, orientaciones, actividad, recursos, programas e instituciones que</w:t>
      </w:r>
      <w:r>
        <w:t xml:space="preserve"> </w:t>
      </w:r>
      <w:r w:rsidRPr="008A6064">
        <w:t>regulan la gestión ambiental del distrito descritas en el Acuerdo 19 de 1996, el cual debe funcionar</w:t>
      </w:r>
      <w:r>
        <w:t xml:space="preserve"> </w:t>
      </w:r>
      <w:r w:rsidRPr="008A6064">
        <w:t>de tal manera que las actividades que realice el gobierno en materia de planificación, prestación</w:t>
      </w:r>
      <w:r>
        <w:t xml:space="preserve">  </w:t>
      </w:r>
      <w:r w:rsidRPr="008A6064">
        <w:t>de servicios públicos, desarrollo regional rural y urbano, administración y control ambiental y</w:t>
      </w:r>
      <w:r>
        <w:t xml:space="preserve"> </w:t>
      </w:r>
      <w:r w:rsidRPr="008A6064">
        <w:t>sanitario, construcción de obras públicas, educación y cultura ciudadana, prevención y mitigación</w:t>
      </w:r>
      <w:r>
        <w:t xml:space="preserve">  </w:t>
      </w:r>
      <w:r w:rsidRPr="008A6064">
        <w:t>de impactos, sean coordinadas y armónicas con los objetivos de la política ambiental (Acuerdo 19</w:t>
      </w:r>
      <w:r>
        <w:t xml:space="preserve"> </w:t>
      </w:r>
      <w:r w:rsidRPr="008A6064">
        <w:t>de 1996).</w:t>
      </w:r>
    </w:p>
    <w:p w14:paraId="629EE9B9" w14:textId="4DB88DFD" w:rsidR="008A6064" w:rsidRDefault="00E96915" w:rsidP="00E96915">
      <w:pPr>
        <w:pStyle w:val="Ttulo3"/>
        <w:ind w:firstLine="0"/>
      </w:pPr>
      <w:bookmarkStart w:id="11" w:name="_Toc57238605"/>
      <w:r>
        <w:t xml:space="preserve">1.5.2 </w:t>
      </w:r>
      <w:r w:rsidR="00066F0C" w:rsidRPr="00066F0C">
        <w:t>Plan de Ordenamiento Territorial.</w:t>
      </w:r>
      <w:bookmarkEnd w:id="11"/>
    </w:p>
    <w:p w14:paraId="31701A50" w14:textId="61F2BC96" w:rsidR="008A6064" w:rsidRDefault="008A6064" w:rsidP="00236BCC">
      <w:pPr>
        <w:pStyle w:val="Prrafodelista"/>
        <w:spacing w:after="0"/>
        <w:ind w:left="567"/>
        <w:jc w:val="both"/>
      </w:pPr>
      <w:r>
        <w:t>Es un instrumento de planeación y administración del suelo urbano apropiado, acorde a las exigencias del Plan de Desarrollo Local de los municipios, este tiene una vigencia de tres períodos constitucionales y contempla la cobertura de escenarios regionales ambientales, rurales, económicos, sociales y físicos. Es ordenado por la ley 388 de 1997 y se encuentra formalizado en el distrito capital mediante el Decreto No. 190 de 2004. Este Plan se encuentra en proceso de revisión para el siguiente periodo.</w:t>
      </w:r>
    </w:p>
    <w:p w14:paraId="291344DE" w14:textId="7ECB6093" w:rsidR="00066F0C" w:rsidRPr="00E96915" w:rsidRDefault="00E96915" w:rsidP="00E96915">
      <w:pPr>
        <w:pStyle w:val="Ttulo3"/>
        <w:ind w:firstLine="0"/>
      </w:pPr>
      <w:bookmarkStart w:id="12" w:name="_Toc57238606"/>
      <w:r>
        <w:t xml:space="preserve">1.5.3 </w:t>
      </w:r>
      <w:r w:rsidR="00066F0C" w:rsidRPr="00E96915">
        <w:t>Plan de Gestión Ambiental 2008-2038 (PGA)</w:t>
      </w:r>
      <w:bookmarkEnd w:id="12"/>
    </w:p>
    <w:p w14:paraId="70DCD896" w14:textId="1AE77395" w:rsidR="00961C86" w:rsidRDefault="00961C86" w:rsidP="00236BCC">
      <w:pPr>
        <w:pStyle w:val="Prrafodelista"/>
        <w:spacing w:after="0"/>
        <w:ind w:left="567"/>
        <w:jc w:val="both"/>
      </w:pPr>
      <w:r>
        <w:t xml:space="preserve">Decreto 456 del 2008, Adoptase el Plan de Acción Cuatrienal Ambiental -PACA- del Distrito Capital, de conformidad con lo establecido en el Decreto 456 de 2008, el cual fue construido, validado y aprobado en la mesa de trabajo de la Comisión Intersectorial para la Sostenibilidad, Protección Ambiental y el Eco-urbanismo del Distrito Capital, anexo que forma parte integrante del presente Decreto, define el PGA como el instrumento que orienta la gestión ambiental a largo plazo de Bogotá el cual desarrolla la gestión ambiental hacia los diferentes puntos estratégicos del distrito, con el fin de generar procesos de desarrollo que propendan por la sostenibilidad en el territorio distrital y en la región. Además, debe perseguir objetivos de calidad ambiental, </w:t>
      </w:r>
      <w:proofErr w:type="gramStart"/>
      <w:r>
        <w:t>eco-eficiencia</w:t>
      </w:r>
      <w:proofErr w:type="gramEnd"/>
      <w:r>
        <w:t xml:space="preserve"> y de armonía socio-ambiental adicionales a los desarrollados en el PGA.</w:t>
      </w:r>
    </w:p>
    <w:p w14:paraId="6345C9A5" w14:textId="7B4E0FE2" w:rsidR="00066F0C" w:rsidRDefault="00E96915" w:rsidP="00E96915">
      <w:pPr>
        <w:pStyle w:val="Ttulo3"/>
        <w:ind w:firstLine="0"/>
      </w:pPr>
      <w:bookmarkStart w:id="13" w:name="_Toc57238607"/>
      <w:proofErr w:type="gramStart"/>
      <w:r>
        <w:t xml:space="preserve">1.5.4  </w:t>
      </w:r>
      <w:r w:rsidR="00066F0C" w:rsidRPr="00066F0C">
        <w:t>Plan</w:t>
      </w:r>
      <w:proofErr w:type="gramEnd"/>
      <w:r w:rsidR="00066F0C" w:rsidRPr="00066F0C">
        <w:t xml:space="preserve"> Cuatrienal Ambiental</w:t>
      </w:r>
      <w:bookmarkEnd w:id="13"/>
    </w:p>
    <w:p w14:paraId="1005659A" w14:textId="77777777" w:rsidR="00961C86" w:rsidRDefault="00961C86" w:rsidP="004E5A87">
      <w:pPr>
        <w:pStyle w:val="Prrafodelista"/>
        <w:spacing w:after="0"/>
        <w:ind w:left="567"/>
        <w:jc w:val="both"/>
      </w:pPr>
      <w:r>
        <w:t>El Decreto 509 del 17 de diciembre 2009, por el cual se adopta el Plan Cuatrienal Ambiental y se definen los instrumentos operativos de planeación ambiental:</w:t>
      </w:r>
    </w:p>
    <w:p w14:paraId="370F2AA7" w14:textId="77777777" w:rsidR="00961C86" w:rsidRDefault="00961C86" w:rsidP="004E5A87">
      <w:pPr>
        <w:pStyle w:val="Prrafodelista"/>
        <w:numPr>
          <w:ilvl w:val="0"/>
          <w:numId w:val="17"/>
        </w:numPr>
        <w:spacing w:after="0"/>
        <w:ind w:left="426" w:firstLine="284"/>
        <w:jc w:val="both"/>
      </w:pPr>
      <w:r>
        <w:t xml:space="preserve">PACA / Plan de Acción Cuatrienal </w:t>
      </w:r>
    </w:p>
    <w:p w14:paraId="565DD151" w14:textId="77777777" w:rsidR="00961C86" w:rsidRDefault="00961C86" w:rsidP="004E5A87">
      <w:pPr>
        <w:pStyle w:val="Prrafodelista"/>
        <w:numPr>
          <w:ilvl w:val="0"/>
          <w:numId w:val="17"/>
        </w:numPr>
        <w:spacing w:after="0"/>
        <w:ind w:left="426" w:firstLine="284"/>
        <w:jc w:val="both"/>
      </w:pPr>
      <w:r>
        <w:lastRenderedPageBreak/>
        <w:t>PIGA/ Plan Institucional Gestión Ambiental</w:t>
      </w:r>
    </w:p>
    <w:p w14:paraId="3282075B" w14:textId="76C09599" w:rsidR="00961C86" w:rsidRPr="00C61C61" w:rsidRDefault="00961C86" w:rsidP="004E5A87">
      <w:pPr>
        <w:pStyle w:val="Prrafodelista"/>
        <w:numPr>
          <w:ilvl w:val="0"/>
          <w:numId w:val="17"/>
        </w:numPr>
        <w:spacing w:after="0"/>
        <w:ind w:left="426" w:firstLine="284"/>
        <w:jc w:val="both"/>
        <w:rPr>
          <w:b/>
          <w:bCs/>
        </w:rPr>
      </w:pPr>
      <w:r>
        <w:t>PAL/ Plan Ambiental Local</w:t>
      </w:r>
    </w:p>
    <w:p w14:paraId="0755A659" w14:textId="2DC28BC0" w:rsidR="00066F0C" w:rsidRDefault="00E96915" w:rsidP="00E96915">
      <w:pPr>
        <w:pStyle w:val="Ttulo4"/>
      </w:pPr>
      <w:r>
        <w:t>1.5.4.</w:t>
      </w:r>
      <w:r w:rsidR="0004177A">
        <w:t xml:space="preserve">1 </w:t>
      </w:r>
      <w:r w:rsidR="00066F0C" w:rsidRPr="00066F0C">
        <w:t>Comisión Ambiental Local (CAL)</w:t>
      </w:r>
    </w:p>
    <w:p w14:paraId="269CB296" w14:textId="77777777" w:rsidR="00627DD6" w:rsidRDefault="00961C86" w:rsidP="004E5A87">
      <w:pPr>
        <w:pStyle w:val="Prrafodelista"/>
        <w:spacing w:after="0"/>
        <w:ind w:left="709"/>
        <w:jc w:val="both"/>
      </w:pPr>
      <w:r>
        <w:t>Es un organismo que garantiza la participación de la ciudadanía en los diferentes procesos ambientales, a través de las mesas de trabajo de esta temática. Dentro de las funciones descritas en la Decreto 575 de 2011 se encuentra promoviendo la ejecución de los proyectos contenidos en el PGA y en las agendas ambientales:</w:t>
      </w:r>
    </w:p>
    <w:p w14:paraId="0ABE6B05" w14:textId="77777777" w:rsidR="00627DD6" w:rsidRDefault="00961C86" w:rsidP="00C61C61">
      <w:pPr>
        <w:pStyle w:val="Prrafodelista"/>
        <w:numPr>
          <w:ilvl w:val="0"/>
          <w:numId w:val="20"/>
        </w:numPr>
        <w:spacing w:after="0"/>
        <w:ind w:left="1134"/>
        <w:jc w:val="both"/>
      </w:pPr>
      <w:r>
        <w:t>Fomentar la participación ciudadana en los diferentes procesos de gestión ambiental adelantados en la localidad, a través de campañas, foros, capacitaciones y demás actividades que estimulen la corresponsabilidad de los diferentes actores estratégicos locales con los recursos naturales y el ambiente.</w:t>
      </w:r>
    </w:p>
    <w:p w14:paraId="016661DD" w14:textId="77777777" w:rsidR="00627DD6" w:rsidRDefault="00961C86" w:rsidP="00C61C61">
      <w:pPr>
        <w:pStyle w:val="Prrafodelista"/>
        <w:numPr>
          <w:ilvl w:val="0"/>
          <w:numId w:val="20"/>
        </w:numPr>
        <w:spacing w:after="0"/>
        <w:ind w:left="1134"/>
        <w:jc w:val="both"/>
      </w:pPr>
      <w:r>
        <w:t>Fortalecer las estrategias de educación ambiental en la localidad, teniendo como marco fundamental la Política Pública Distrital de Educación Ambiental –PPDEA, el Plan de Gestión Ambiental –PGA y la normatividad vigente.</w:t>
      </w:r>
    </w:p>
    <w:p w14:paraId="4FA23B26" w14:textId="77777777" w:rsidR="00627DD6" w:rsidRDefault="00961C86" w:rsidP="00C61C61">
      <w:pPr>
        <w:pStyle w:val="Prrafodelista"/>
        <w:numPr>
          <w:ilvl w:val="0"/>
          <w:numId w:val="20"/>
        </w:numPr>
        <w:spacing w:after="0"/>
        <w:ind w:left="1134"/>
        <w:jc w:val="both"/>
      </w:pPr>
      <w:r>
        <w:t>Apoyar la formulación e implementación de políticas públicas distritales que incorporen o tengan injerencia en componentes ambientales de la localidad.</w:t>
      </w:r>
    </w:p>
    <w:p w14:paraId="58A56397" w14:textId="77777777" w:rsidR="00627DD6" w:rsidRDefault="00961C86" w:rsidP="00C61C61">
      <w:pPr>
        <w:pStyle w:val="Prrafodelista"/>
        <w:numPr>
          <w:ilvl w:val="0"/>
          <w:numId w:val="20"/>
        </w:numPr>
        <w:spacing w:after="0"/>
        <w:ind w:left="1134"/>
        <w:jc w:val="both"/>
      </w:pPr>
      <w:r>
        <w:t>Apoyar el desarrollo de las actividades tendientes a la promoción, prevención y control de problemas de salud, en el abordaje de determinantes sociales con énfasis en los ambientales presentes de forma particular en cada localidad, de conformidad con las políticas y normas ambientales de salud, según lo establecido por el Acuerdo Distrital 274 de 2007 y normas que lo reglamenten.</w:t>
      </w:r>
    </w:p>
    <w:p w14:paraId="58633E02" w14:textId="77777777" w:rsidR="00627DD6" w:rsidRDefault="00961C86" w:rsidP="00C61C61">
      <w:pPr>
        <w:pStyle w:val="Prrafodelista"/>
        <w:numPr>
          <w:ilvl w:val="0"/>
          <w:numId w:val="20"/>
        </w:numPr>
        <w:spacing w:after="0"/>
        <w:ind w:left="1134"/>
        <w:jc w:val="both"/>
      </w:pPr>
      <w:r>
        <w:t xml:space="preserve">Apoyar y gestionar iniciativas y propuestas ambientales comunitarias con el sector público y privado, de orden local, distrital, nacional e internacional. </w:t>
      </w:r>
    </w:p>
    <w:p w14:paraId="07A40694" w14:textId="77777777" w:rsidR="00627DD6" w:rsidRDefault="00961C86" w:rsidP="00C61C61">
      <w:pPr>
        <w:pStyle w:val="Prrafodelista"/>
        <w:numPr>
          <w:ilvl w:val="0"/>
          <w:numId w:val="20"/>
        </w:numPr>
        <w:spacing w:after="0"/>
        <w:ind w:left="1134"/>
        <w:jc w:val="both"/>
      </w:pPr>
      <w:r>
        <w:t xml:space="preserve">Elaborar anualmente el plan de acción para operativizar las acciones de la respectiva CAL. </w:t>
      </w:r>
    </w:p>
    <w:p w14:paraId="7F173929" w14:textId="77777777" w:rsidR="00627DD6" w:rsidRDefault="00961C86" w:rsidP="00C61C61">
      <w:pPr>
        <w:pStyle w:val="Prrafodelista"/>
        <w:numPr>
          <w:ilvl w:val="0"/>
          <w:numId w:val="20"/>
        </w:numPr>
        <w:spacing w:after="0"/>
        <w:ind w:left="1134"/>
        <w:jc w:val="both"/>
      </w:pPr>
      <w:r>
        <w:t>Elaborar anualmente un informe de las acciones coordinadas y llevadas a cabo por la CAL en torno a la gestión ambiental en la localidad</w:t>
      </w:r>
      <w:r w:rsidR="00067BBD">
        <w:t>.</w:t>
      </w:r>
    </w:p>
    <w:p w14:paraId="4CEB9627" w14:textId="77777777" w:rsidR="00627DD6" w:rsidRDefault="00067BBD" w:rsidP="00C61C61">
      <w:pPr>
        <w:pStyle w:val="Prrafodelista"/>
        <w:numPr>
          <w:ilvl w:val="0"/>
          <w:numId w:val="20"/>
        </w:numPr>
        <w:spacing w:after="0"/>
        <w:ind w:left="1134"/>
        <w:jc w:val="both"/>
      </w:pPr>
      <w:r>
        <w:t xml:space="preserve">Elegir los representantes de la CAL en las instancias de participación local y distrital que así lo ameriten. </w:t>
      </w:r>
    </w:p>
    <w:p w14:paraId="4DD6FE38" w14:textId="7D15EB2A" w:rsidR="00067BBD" w:rsidRPr="00627DD6" w:rsidRDefault="00067BBD" w:rsidP="00C61C61">
      <w:pPr>
        <w:pStyle w:val="Prrafodelista"/>
        <w:numPr>
          <w:ilvl w:val="0"/>
          <w:numId w:val="20"/>
        </w:numPr>
        <w:spacing w:after="0"/>
        <w:ind w:left="1134"/>
        <w:jc w:val="both"/>
      </w:pPr>
      <w:r>
        <w:t xml:space="preserve">Darse su propio reglamento, para lo cual contará con la asesoría técnica de la Secretaría Distrital de Ambiente. </w:t>
      </w:r>
    </w:p>
    <w:p w14:paraId="4E51A39A" w14:textId="77777777" w:rsidR="00BA64A2" w:rsidRPr="00067BBD" w:rsidRDefault="00BA64A2" w:rsidP="004E5A87">
      <w:pPr>
        <w:pStyle w:val="Prrafodelista"/>
        <w:spacing w:after="0"/>
        <w:ind w:left="709"/>
        <w:jc w:val="both"/>
        <w:rPr>
          <w:b/>
          <w:bCs/>
        </w:rPr>
      </w:pPr>
    </w:p>
    <w:p w14:paraId="552AE401" w14:textId="1FCC75F3" w:rsidR="0087017A" w:rsidRDefault="00067BBD" w:rsidP="004E5A87">
      <w:pPr>
        <w:spacing w:after="0"/>
        <w:ind w:left="709" w:firstLine="0"/>
        <w:jc w:val="both"/>
      </w:pPr>
      <w:r>
        <w:lastRenderedPageBreak/>
        <w:t>Esta se encuentra conformada por el alcalde (alcaldesa), local o su delegado, un delegado de la Secretaría de Ambiente, un edil de la Junta Administradora Local (JAL), un representante al Consejo de Planeación Local, un representante de la Secretaría Distrital de Planeación, un representante de la Secretaría Distrital de Hábitat, un representante de la Secretaría Distrital de Salud, un representante de la Dirección Local de Educación, un representante de la Empresa de Acueducto y Alcantarillado y Aseo de Bogotá, un representante del Jardín Botánico José Celestino Mutis, un representante de la Unidad Administrativa de Servicios Públicos (UAESP), un representante de las universidades (públicas o privadas) presentes en la localidad, un estudiante de colegio (público o privado), un representante de la Asociación de Juntas de Acción Comunal (ASOJUNTAS), cinco representantes de las organizaciones ambientales reconocidas por la Secretaría Distrital de Ambiente, domiciliadas y con intervenciones en temas ambientales de la localidad (Decreto Distrital 575 de 2011).</w:t>
      </w:r>
    </w:p>
    <w:p w14:paraId="51259721" w14:textId="77777777" w:rsidR="0004177A" w:rsidRDefault="0004177A" w:rsidP="0004177A">
      <w:pPr>
        <w:pBdr>
          <w:top w:val="nil"/>
          <w:left w:val="nil"/>
          <w:bottom w:val="nil"/>
          <w:right w:val="nil"/>
          <w:between w:val="nil"/>
        </w:pBdr>
        <w:spacing w:after="0"/>
        <w:ind w:firstLine="0"/>
        <w:jc w:val="both"/>
        <w:rPr>
          <w:b/>
          <w:bCs/>
        </w:rPr>
      </w:pPr>
    </w:p>
    <w:p w14:paraId="1CD81EBC" w14:textId="452482FF" w:rsidR="0087017A" w:rsidRPr="0004177A" w:rsidRDefault="0004177A" w:rsidP="0004177A">
      <w:pPr>
        <w:pStyle w:val="Ttulo2"/>
        <w:rPr>
          <w:color w:val="000000"/>
        </w:rPr>
      </w:pPr>
      <w:bookmarkStart w:id="14" w:name="_Toc57238608"/>
      <w:r>
        <w:t xml:space="preserve">1.6 </w:t>
      </w:r>
      <w:r w:rsidR="006371D8" w:rsidRPr="0004177A">
        <w:t>Situaciones conflictivas ambientales</w:t>
      </w:r>
      <w:r w:rsidR="00627DD6" w:rsidRPr="0004177A">
        <w:t>.</w:t>
      </w:r>
      <w:bookmarkEnd w:id="14"/>
    </w:p>
    <w:p w14:paraId="7598BCDC" w14:textId="273B692B" w:rsidR="00627DD6" w:rsidRDefault="00627DD6" w:rsidP="00236BCC">
      <w:pPr>
        <w:pBdr>
          <w:top w:val="nil"/>
          <w:left w:val="nil"/>
          <w:bottom w:val="nil"/>
          <w:right w:val="nil"/>
          <w:between w:val="nil"/>
        </w:pBdr>
        <w:spacing w:after="0"/>
        <w:ind w:left="660" w:firstLine="0"/>
        <w:jc w:val="both"/>
      </w:pPr>
      <w:r>
        <w:t xml:space="preserve">Las principales problemáticas identificadas en la localidad de Los Mártires por parte del </w:t>
      </w:r>
      <w:proofErr w:type="gramStart"/>
      <w:r>
        <w:t>Distrito,</w:t>
      </w:r>
      <w:proofErr w:type="gramEnd"/>
      <w:r>
        <w:t xml:space="preserve"> son las siguientes: </w:t>
      </w:r>
    </w:p>
    <w:p w14:paraId="4F1134AD" w14:textId="4C0D05BA" w:rsidR="00627DD6" w:rsidRDefault="00627DD6" w:rsidP="00236BCC">
      <w:pPr>
        <w:pStyle w:val="Prrafodelista"/>
        <w:numPr>
          <w:ilvl w:val="0"/>
          <w:numId w:val="21"/>
        </w:numPr>
        <w:pBdr>
          <w:top w:val="nil"/>
          <w:left w:val="nil"/>
          <w:bottom w:val="nil"/>
          <w:right w:val="nil"/>
          <w:between w:val="nil"/>
        </w:pBdr>
        <w:spacing w:after="0"/>
        <w:jc w:val="both"/>
      </w:pPr>
      <w:r>
        <w:t>Conflictos por uso del suelo que ocasionan: contaminación auditiva y visual producida por establecimientos de entretenimiento y diversión, riñas y hurtos asociados a actividades de establecimientos de entre</w:t>
      </w:r>
      <w:r w:rsidR="00FC6DA0">
        <w:t>te</w:t>
      </w:r>
      <w:r>
        <w:t xml:space="preserve">nimiento y diversión (UPZ Santa Isabel) y Zona de Alto Impacto (lugares de encuentro sexual y otros) - UPZ Sabana, Consumo y venta de sustancias alucinógenas, sicotrópicas y sicoactivas en algunas bodegas de reciclaje de la localidad (barrio Eduardo Santos-UPZ Santa Isabel), entre otros. </w:t>
      </w:r>
    </w:p>
    <w:p w14:paraId="13CE33A0" w14:textId="65CD239F" w:rsidR="00627DD6" w:rsidRDefault="00627DD6" w:rsidP="00236BCC">
      <w:pPr>
        <w:pStyle w:val="Prrafodelista"/>
        <w:numPr>
          <w:ilvl w:val="0"/>
          <w:numId w:val="21"/>
        </w:numPr>
        <w:pBdr>
          <w:top w:val="nil"/>
          <w:left w:val="nil"/>
          <w:bottom w:val="nil"/>
          <w:right w:val="nil"/>
          <w:between w:val="nil"/>
        </w:pBdr>
        <w:spacing w:after="0"/>
        <w:jc w:val="both"/>
      </w:pPr>
      <w:r>
        <w:t xml:space="preserve">Manejo inadecuado de residuos sólidos producidos por plazas de mercado y otros distribuidores de frutas y verduras, así como sectores de industria química, litográfica y metálica. </w:t>
      </w:r>
    </w:p>
    <w:p w14:paraId="742C5D3D" w14:textId="680EEDFA" w:rsidR="00627DD6" w:rsidRDefault="00627DD6" w:rsidP="00236BCC">
      <w:pPr>
        <w:pStyle w:val="Prrafodelista"/>
        <w:numPr>
          <w:ilvl w:val="0"/>
          <w:numId w:val="21"/>
        </w:numPr>
        <w:pBdr>
          <w:top w:val="nil"/>
          <w:left w:val="nil"/>
          <w:bottom w:val="nil"/>
          <w:right w:val="nil"/>
          <w:between w:val="nil"/>
        </w:pBdr>
        <w:spacing w:after="0"/>
        <w:jc w:val="both"/>
      </w:pPr>
      <w:r>
        <w:t xml:space="preserve">Vertimientos de aceites y otros residuos líquidos al sistema de alcantarillado local. Aumento de habitantes de calle que afecta el Canal Comuneros. </w:t>
      </w:r>
    </w:p>
    <w:p w14:paraId="63F66DAC" w14:textId="3532AD3A" w:rsidR="00627DD6" w:rsidRPr="00627DD6" w:rsidRDefault="00627DD6" w:rsidP="00236BCC">
      <w:pPr>
        <w:pStyle w:val="Prrafodelista"/>
        <w:numPr>
          <w:ilvl w:val="0"/>
          <w:numId w:val="21"/>
        </w:numPr>
        <w:pBdr>
          <w:top w:val="nil"/>
          <w:left w:val="nil"/>
          <w:bottom w:val="nil"/>
          <w:right w:val="nil"/>
          <w:between w:val="nil"/>
        </w:pBdr>
        <w:spacing w:after="0"/>
        <w:jc w:val="both"/>
        <w:rPr>
          <w:rFonts w:eastAsia="Arial" w:cs="Arial"/>
          <w:color w:val="000000"/>
        </w:rPr>
      </w:pPr>
      <w:r>
        <w:t>Invasión del espacio público por la realización de ventas ambulantes y cerramientos informales o parciales para el desarrollo de actividades particulares.</w:t>
      </w:r>
    </w:p>
    <w:p w14:paraId="3E47424B" w14:textId="77777777" w:rsidR="00627DD6" w:rsidRDefault="00627DD6" w:rsidP="00236BCC">
      <w:pPr>
        <w:pBdr>
          <w:top w:val="nil"/>
          <w:left w:val="nil"/>
          <w:bottom w:val="nil"/>
          <w:right w:val="nil"/>
          <w:between w:val="nil"/>
        </w:pBdr>
        <w:spacing w:after="0"/>
        <w:jc w:val="both"/>
        <w:rPr>
          <w:rFonts w:eastAsia="Arial" w:cs="Arial"/>
        </w:rPr>
        <w:sectPr w:rsidR="00627DD6" w:rsidSect="00363BC5">
          <w:pgSz w:w="12240" w:h="15840"/>
          <w:pgMar w:top="1418" w:right="1418" w:bottom="1418" w:left="1418" w:header="709" w:footer="709" w:gutter="0"/>
          <w:cols w:space="720"/>
        </w:sectPr>
      </w:pPr>
    </w:p>
    <w:p w14:paraId="428EB134" w14:textId="2D8951BC" w:rsidR="00627DD6" w:rsidRPr="00795C1D" w:rsidRDefault="005F7A1A" w:rsidP="00F00482">
      <w:pPr>
        <w:pBdr>
          <w:top w:val="nil"/>
          <w:left w:val="nil"/>
          <w:bottom w:val="nil"/>
          <w:right w:val="nil"/>
          <w:between w:val="nil"/>
        </w:pBdr>
        <w:spacing w:after="0"/>
        <w:jc w:val="center"/>
        <w:rPr>
          <w:rFonts w:eastAsia="Arial" w:cs="Arial"/>
          <w:i/>
          <w:iCs/>
          <w:sz w:val="18"/>
          <w:szCs w:val="18"/>
        </w:rPr>
        <w:sectPr w:rsidR="00627DD6" w:rsidRPr="00795C1D" w:rsidSect="00363BC5">
          <w:pgSz w:w="15840" w:h="12240" w:orient="landscape"/>
          <w:pgMar w:top="1418" w:right="1418" w:bottom="1418" w:left="1418" w:header="709" w:footer="709" w:gutter="0"/>
          <w:cols w:space="720"/>
        </w:sectPr>
      </w:pPr>
      <w:r>
        <w:rPr>
          <w:noProof/>
        </w:rPr>
        <w:lastRenderedPageBreak/>
        <mc:AlternateContent>
          <mc:Choice Requires="wps">
            <w:drawing>
              <wp:anchor distT="0" distB="0" distL="114300" distR="114300" simplePos="0" relativeHeight="251694080" behindDoc="0" locked="0" layoutInCell="1" allowOverlap="1" wp14:anchorId="081171B7" wp14:editId="7BD66755">
                <wp:simplePos x="0" y="0"/>
                <wp:positionH relativeFrom="column">
                  <wp:posOffset>193675</wp:posOffset>
                </wp:positionH>
                <wp:positionV relativeFrom="paragraph">
                  <wp:posOffset>5558790</wp:posOffset>
                </wp:positionV>
                <wp:extent cx="8051800" cy="635"/>
                <wp:effectExtent l="0" t="0" r="0" b="0"/>
                <wp:wrapTopAndBottom/>
                <wp:docPr id="16" name="Cuadro de texto 16"/>
                <wp:cNvGraphicFramePr/>
                <a:graphic xmlns:a="http://schemas.openxmlformats.org/drawingml/2006/main">
                  <a:graphicData uri="http://schemas.microsoft.com/office/word/2010/wordprocessingShape">
                    <wps:wsp>
                      <wps:cNvSpPr txBox="1"/>
                      <wps:spPr>
                        <a:xfrm>
                          <a:off x="0" y="0"/>
                          <a:ext cx="8051800" cy="635"/>
                        </a:xfrm>
                        <a:prstGeom prst="rect">
                          <a:avLst/>
                        </a:prstGeom>
                        <a:solidFill>
                          <a:prstClr val="white"/>
                        </a:solidFill>
                        <a:ln>
                          <a:noFill/>
                        </a:ln>
                      </wps:spPr>
                      <wps:txbx>
                        <w:txbxContent>
                          <w:p w14:paraId="20A3232E" w14:textId="7173F916" w:rsidR="00ED57B1" w:rsidRPr="004A51BA" w:rsidRDefault="00ED57B1" w:rsidP="005F7A1A">
                            <w:pPr>
                              <w:pStyle w:val="Descripcin"/>
                              <w:spacing w:after="0"/>
                              <w:jc w:val="center"/>
                              <w:rPr>
                                <w:rFonts w:eastAsia="Arial" w:cs="Arial"/>
                                <w:noProof/>
                              </w:rPr>
                            </w:pPr>
                            <w:bookmarkStart w:id="15" w:name="_Toc57223720"/>
                            <w:r w:rsidRPr="005F7A1A">
                              <w:rPr>
                                <w:color w:val="auto"/>
                              </w:rPr>
                              <w:t xml:space="preserve">Ilustración </w:t>
                            </w:r>
                            <w:r w:rsidRPr="005F7A1A">
                              <w:rPr>
                                <w:color w:val="auto"/>
                              </w:rPr>
                              <w:fldChar w:fldCharType="begin"/>
                            </w:r>
                            <w:r w:rsidRPr="005F7A1A">
                              <w:rPr>
                                <w:color w:val="auto"/>
                              </w:rPr>
                              <w:instrText xml:space="preserve"> SEQ Ilustración \* ARABIC </w:instrText>
                            </w:r>
                            <w:r w:rsidRPr="005F7A1A">
                              <w:rPr>
                                <w:color w:val="auto"/>
                              </w:rPr>
                              <w:fldChar w:fldCharType="separate"/>
                            </w:r>
                            <w:r>
                              <w:rPr>
                                <w:noProof/>
                                <w:color w:val="auto"/>
                              </w:rPr>
                              <w:t>2</w:t>
                            </w:r>
                            <w:r w:rsidRPr="005F7A1A">
                              <w:rPr>
                                <w:color w:val="auto"/>
                              </w:rPr>
                              <w:fldChar w:fldCharType="end"/>
                            </w:r>
                            <w:r w:rsidRPr="005F7A1A">
                              <w:rPr>
                                <w:color w:val="auto"/>
                              </w:rPr>
                              <w:t>. Actividades de Educación en el marco de las situaciones Ambientales Conflictivas.</w:t>
                            </w:r>
                            <w:bookmarkEnd w:id="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81171B7" id="Cuadro de texto 16" o:spid="_x0000_s1035" type="#_x0000_t202" style="position:absolute;left:0;text-align:left;margin-left:15.25pt;margin-top:437.7pt;width:634pt;height:.0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" stroked="f">
                <v:textbox style="mso-fit-shape-to-text:t" inset="0,0,0,0">
                  <w:txbxContent>
                    <w:p w14:paraId="20A3232E" w14:textId="7173F916" w:rsidR="00ED57B1" w:rsidRPr="004A51BA" w:rsidRDefault="00ED57B1" w:rsidP="005F7A1A">
                      <w:pPr>
                        <w:pStyle w:val="Descripcin"/>
                        <w:spacing w:after="0"/>
                        <w:jc w:val="center"/>
                        <w:rPr>
                          <w:rFonts w:eastAsia="Arial" w:cs="Arial"/>
                          <w:noProof/>
                        </w:rPr>
                      </w:pPr>
                      <w:bookmarkStart w:id="17" w:name="_Toc57223720"/>
                      <w:r w:rsidRPr="005F7A1A">
                        <w:rPr>
                          <w:color w:val="auto"/>
                        </w:rPr>
                        <w:t xml:space="preserve">Ilustración </w:t>
                      </w:r>
                      <w:r w:rsidRPr="005F7A1A">
                        <w:rPr>
                          <w:color w:val="auto"/>
                        </w:rPr>
                        <w:fldChar w:fldCharType="begin"/>
                      </w:r>
                      <w:r w:rsidRPr="005F7A1A">
                        <w:rPr>
                          <w:color w:val="auto"/>
                        </w:rPr>
                        <w:instrText xml:space="preserve"> SEQ Ilustración \* ARABIC </w:instrText>
                      </w:r>
                      <w:r w:rsidRPr="005F7A1A">
                        <w:rPr>
                          <w:color w:val="auto"/>
                        </w:rPr>
                        <w:fldChar w:fldCharType="separate"/>
                      </w:r>
                      <w:r>
                        <w:rPr>
                          <w:noProof/>
                          <w:color w:val="auto"/>
                        </w:rPr>
                        <w:t>2</w:t>
                      </w:r>
                      <w:r w:rsidRPr="005F7A1A">
                        <w:rPr>
                          <w:color w:val="auto"/>
                        </w:rPr>
                        <w:fldChar w:fldCharType="end"/>
                      </w:r>
                      <w:r w:rsidRPr="005F7A1A">
                        <w:rPr>
                          <w:color w:val="auto"/>
                        </w:rPr>
                        <w:t>. Actividades de Educación en el marco de las situaciones Ambientales Conflictivas.</w:t>
                      </w:r>
                      <w:bookmarkEnd w:id="17"/>
                    </w:p>
                  </w:txbxContent>
                </v:textbox>
                <w10:wrap type="topAndBottom"/>
              </v:shape>
            </w:pict>
          </mc:Fallback>
        </mc:AlternateContent>
      </w:r>
      <w:r w:rsidR="00FC6DA0" w:rsidRPr="00795C1D">
        <w:rPr>
          <w:rFonts w:eastAsia="Arial" w:cs="Arial"/>
          <w:i/>
          <w:iCs/>
          <w:noProof/>
          <w:sz w:val="18"/>
          <w:szCs w:val="18"/>
        </w:rPr>
        <w:drawing>
          <wp:anchor distT="0" distB="0" distL="114300" distR="114300" simplePos="0" relativeHeight="251669504" behindDoc="0" locked="0" layoutInCell="1" allowOverlap="1" wp14:anchorId="51E7A4A0" wp14:editId="403E9A8F">
            <wp:simplePos x="0" y="0"/>
            <wp:positionH relativeFrom="margin">
              <wp:posOffset>193675</wp:posOffset>
            </wp:positionH>
            <wp:positionV relativeFrom="margin">
              <wp:posOffset>-125095</wp:posOffset>
            </wp:positionV>
            <wp:extent cx="8051800" cy="5626735"/>
            <wp:effectExtent l="0" t="0" r="6350" b="0"/>
            <wp:wrapTopAndBottom/>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051800" cy="5626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34E9D" w:rsidRPr="00795C1D">
        <w:rPr>
          <w:rFonts w:eastAsia="Arial" w:cs="Arial"/>
          <w:i/>
          <w:iCs/>
          <w:sz w:val="18"/>
          <w:szCs w:val="18"/>
        </w:rPr>
        <w:t>Fuente: https://oab.ambientebogota.gov.co/?post_type=dlm_download&amp;p=13546</w:t>
      </w:r>
    </w:p>
    <w:p w14:paraId="2A1FD9EE" w14:textId="4EC6FAC2" w:rsidR="0087017A" w:rsidRDefault="0087017A" w:rsidP="00236BCC">
      <w:pPr>
        <w:pBdr>
          <w:top w:val="nil"/>
          <w:left w:val="nil"/>
          <w:bottom w:val="nil"/>
          <w:right w:val="nil"/>
          <w:between w:val="nil"/>
        </w:pBdr>
        <w:spacing w:after="0"/>
        <w:jc w:val="both"/>
        <w:rPr>
          <w:rFonts w:eastAsia="Arial" w:cs="Arial"/>
        </w:rPr>
      </w:pPr>
    </w:p>
    <w:p w14:paraId="71BD9D92" w14:textId="71EF92FB" w:rsidR="00627DD6" w:rsidRDefault="001146E8" w:rsidP="000D3B3C">
      <w:pPr>
        <w:pBdr>
          <w:top w:val="nil"/>
          <w:left w:val="nil"/>
          <w:bottom w:val="nil"/>
          <w:right w:val="nil"/>
          <w:between w:val="nil"/>
        </w:pBdr>
        <w:spacing w:after="0"/>
        <w:jc w:val="center"/>
        <w:rPr>
          <w:rFonts w:eastAsia="Arial" w:cs="Arial"/>
          <w:color w:val="000000"/>
        </w:rPr>
      </w:pPr>
      <w:r>
        <w:rPr>
          <w:rFonts w:eastAsia="Arial" w:cs="Arial"/>
          <w:noProof/>
          <w:color w:val="000000"/>
        </w:rPr>
        <w:drawing>
          <wp:inline distT="0" distB="0" distL="0" distR="0" wp14:anchorId="3B5B93A9" wp14:editId="558EA798">
            <wp:extent cx="4862830" cy="3145155"/>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62830" cy="3145155"/>
                    </a:xfrm>
                    <a:prstGeom prst="rect">
                      <a:avLst/>
                    </a:prstGeom>
                    <a:noFill/>
                    <a:ln>
                      <a:noFill/>
                    </a:ln>
                  </pic:spPr>
                </pic:pic>
              </a:graphicData>
            </a:graphic>
          </wp:inline>
        </w:drawing>
      </w:r>
    </w:p>
    <w:p w14:paraId="0EE68C44" w14:textId="4162351F" w:rsidR="001146E8" w:rsidRDefault="001146E8" w:rsidP="000D3B3C">
      <w:pPr>
        <w:pBdr>
          <w:top w:val="nil"/>
          <w:left w:val="nil"/>
          <w:bottom w:val="nil"/>
          <w:right w:val="nil"/>
          <w:between w:val="nil"/>
        </w:pBdr>
        <w:spacing w:after="0"/>
        <w:jc w:val="center"/>
        <w:rPr>
          <w:rFonts w:eastAsia="Arial" w:cs="Arial"/>
          <w:color w:val="000000"/>
        </w:rPr>
      </w:pPr>
      <w:r>
        <w:rPr>
          <w:rFonts w:eastAsia="Arial" w:cs="Arial"/>
          <w:noProof/>
          <w:color w:val="000000"/>
        </w:rPr>
        <w:drawing>
          <wp:inline distT="0" distB="0" distL="0" distR="0" wp14:anchorId="1436C41B" wp14:editId="26B95523">
            <wp:extent cx="4848860" cy="3172460"/>
            <wp:effectExtent l="0" t="0" r="8890" b="889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48860" cy="3172460"/>
                    </a:xfrm>
                    <a:prstGeom prst="rect">
                      <a:avLst/>
                    </a:prstGeom>
                    <a:noFill/>
                    <a:ln>
                      <a:noFill/>
                    </a:ln>
                  </pic:spPr>
                </pic:pic>
              </a:graphicData>
            </a:graphic>
          </wp:inline>
        </w:drawing>
      </w:r>
    </w:p>
    <w:p w14:paraId="6F9CB3B3" w14:textId="22C30A0A" w:rsidR="001146E8" w:rsidRDefault="001146E8" w:rsidP="00236BCC">
      <w:pPr>
        <w:pBdr>
          <w:top w:val="nil"/>
          <w:left w:val="nil"/>
          <w:bottom w:val="nil"/>
          <w:right w:val="nil"/>
          <w:between w:val="nil"/>
        </w:pBdr>
        <w:spacing w:after="0"/>
        <w:jc w:val="both"/>
        <w:rPr>
          <w:rFonts w:eastAsia="Arial" w:cs="Arial"/>
          <w:color w:val="000000"/>
        </w:rPr>
      </w:pPr>
    </w:p>
    <w:p w14:paraId="2F64D8DB" w14:textId="4AE01E61" w:rsidR="001146E8" w:rsidRDefault="001146E8" w:rsidP="00236BCC">
      <w:pPr>
        <w:pBdr>
          <w:top w:val="nil"/>
          <w:left w:val="nil"/>
          <w:bottom w:val="nil"/>
          <w:right w:val="nil"/>
          <w:between w:val="nil"/>
        </w:pBdr>
        <w:spacing w:after="0"/>
        <w:jc w:val="both"/>
        <w:rPr>
          <w:rFonts w:eastAsia="Arial" w:cs="Arial"/>
          <w:color w:val="000000"/>
        </w:rPr>
      </w:pPr>
    </w:p>
    <w:p w14:paraId="12FA3A65" w14:textId="249EEF4A" w:rsidR="001146E8" w:rsidRDefault="001146E8" w:rsidP="00236BCC">
      <w:pPr>
        <w:pBdr>
          <w:top w:val="nil"/>
          <w:left w:val="nil"/>
          <w:bottom w:val="nil"/>
          <w:right w:val="nil"/>
          <w:between w:val="nil"/>
        </w:pBdr>
        <w:spacing w:after="0"/>
        <w:jc w:val="both"/>
        <w:rPr>
          <w:rFonts w:eastAsia="Arial" w:cs="Arial"/>
          <w:color w:val="000000"/>
        </w:rPr>
      </w:pPr>
    </w:p>
    <w:p w14:paraId="004E9F03" w14:textId="6336E13F" w:rsidR="001146E8" w:rsidRDefault="001146E8" w:rsidP="00236BCC">
      <w:pPr>
        <w:pBdr>
          <w:top w:val="nil"/>
          <w:left w:val="nil"/>
          <w:bottom w:val="nil"/>
          <w:right w:val="nil"/>
          <w:between w:val="nil"/>
        </w:pBdr>
        <w:spacing w:after="0"/>
        <w:jc w:val="both"/>
        <w:rPr>
          <w:rFonts w:eastAsia="Arial" w:cs="Arial"/>
          <w:color w:val="000000"/>
        </w:rPr>
      </w:pPr>
    </w:p>
    <w:p w14:paraId="4B6C1FB4" w14:textId="57F9B84B" w:rsidR="001146E8" w:rsidRDefault="001146E8" w:rsidP="000D3B3C">
      <w:pPr>
        <w:pBdr>
          <w:top w:val="nil"/>
          <w:left w:val="nil"/>
          <w:bottom w:val="nil"/>
          <w:right w:val="nil"/>
          <w:between w:val="nil"/>
        </w:pBdr>
        <w:spacing w:after="0"/>
        <w:jc w:val="center"/>
        <w:rPr>
          <w:rFonts w:eastAsia="Arial" w:cs="Arial"/>
          <w:color w:val="000000"/>
        </w:rPr>
      </w:pPr>
      <w:r>
        <w:rPr>
          <w:rFonts w:eastAsia="Arial" w:cs="Arial"/>
          <w:noProof/>
          <w:color w:val="000000"/>
        </w:rPr>
        <w:lastRenderedPageBreak/>
        <w:drawing>
          <wp:inline distT="0" distB="0" distL="0" distR="0" wp14:anchorId="640DF1C4" wp14:editId="5C4129C7">
            <wp:extent cx="4835525" cy="4572000"/>
            <wp:effectExtent l="0" t="0" r="3175"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35525" cy="4572000"/>
                    </a:xfrm>
                    <a:prstGeom prst="rect">
                      <a:avLst/>
                    </a:prstGeom>
                    <a:noFill/>
                    <a:ln>
                      <a:noFill/>
                    </a:ln>
                  </pic:spPr>
                </pic:pic>
              </a:graphicData>
            </a:graphic>
          </wp:inline>
        </w:drawing>
      </w:r>
    </w:p>
    <w:p w14:paraId="222001AB" w14:textId="6F666027" w:rsidR="00FC6DA0" w:rsidRDefault="00FC6DA0" w:rsidP="000D3B3C">
      <w:pPr>
        <w:pBdr>
          <w:top w:val="nil"/>
          <w:left w:val="nil"/>
          <w:bottom w:val="nil"/>
          <w:right w:val="nil"/>
          <w:between w:val="nil"/>
        </w:pBdr>
        <w:spacing w:after="0"/>
        <w:jc w:val="center"/>
        <w:rPr>
          <w:rFonts w:eastAsia="Arial" w:cs="Arial"/>
          <w:color w:val="000000"/>
        </w:rPr>
      </w:pPr>
      <w:r>
        <w:rPr>
          <w:rFonts w:eastAsia="Arial" w:cs="Arial"/>
          <w:noProof/>
          <w:color w:val="000000"/>
        </w:rPr>
        <w:drawing>
          <wp:inline distT="0" distB="0" distL="0" distR="0" wp14:anchorId="45D66A37" wp14:editId="1BDC599B">
            <wp:extent cx="4862830" cy="1870075"/>
            <wp:effectExtent l="0" t="0" r="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62830" cy="1870075"/>
                    </a:xfrm>
                    <a:prstGeom prst="rect">
                      <a:avLst/>
                    </a:prstGeom>
                    <a:noFill/>
                    <a:ln>
                      <a:noFill/>
                    </a:ln>
                  </pic:spPr>
                </pic:pic>
              </a:graphicData>
            </a:graphic>
          </wp:inline>
        </w:drawing>
      </w:r>
    </w:p>
    <w:p w14:paraId="49213C3F" w14:textId="77777777" w:rsidR="00834E9D" w:rsidRDefault="00834E9D" w:rsidP="00236BCC">
      <w:pPr>
        <w:pBdr>
          <w:top w:val="nil"/>
          <w:left w:val="nil"/>
          <w:bottom w:val="nil"/>
          <w:right w:val="nil"/>
          <w:between w:val="nil"/>
        </w:pBdr>
        <w:spacing w:after="0"/>
        <w:jc w:val="both"/>
        <w:rPr>
          <w:rFonts w:eastAsia="Arial" w:cs="Arial"/>
          <w:color w:val="000000"/>
        </w:rPr>
      </w:pPr>
    </w:p>
    <w:p w14:paraId="144E88D2" w14:textId="77777777" w:rsidR="001146E8" w:rsidRDefault="001146E8" w:rsidP="00236BCC">
      <w:pPr>
        <w:pBdr>
          <w:top w:val="nil"/>
          <w:left w:val="nil"/>
          <w:bottom w:val="nil"/>
          <w:right w:val="nil"/>
          <w:between w:val="nil"/>
        </w:pBdr>
        <w:spacing w:after="0"/>
        <w:jc w:val="both"/>
        <w:rPr>
          <w:rFonts w:eastAsia="Arial" w:cs="Arial"/>
          <w:color w:val="000000"/>
        </w:rPr>
      </w:pPr>
    </w:p>
    <w:p w14:paraId="52E21A27" w14:textId="47122428" w:rsidR="00627DD6" w:rsidRDefault="00627DD6" w:rsidP="00236BCC">
      <w:pPr>
        <w:pBdr>
          <w:top w:val="nil"/>
          <w:left w:val="nil"/>
          <w:bottom w:val="nil"/>
          <w:right w:val="nil"/>
          <w:between w:val="nil"/>
        </w:pBdr>
        <w:spacing w:after="0"/>
        <w:jc w:val="both"/>
        <w:rPr>
          <w:rFonts w:eastAsia="Arial" w:cs="Arial"/>
          <w:color w:val="000000"/>
        </w:rPr>
      </w:pPr>
    </w:p>
    <w:p w14:paraId="1E01F224" w14:textId="4BB3203A" w:rsidR="00627DD6" w:rsidRDefault="00627DD6" w:rsidP="00236BCC">
      <w:pPr>
        <w:pBdr>
          <w:top w:val="nil"/>
          <w:left w:val="nil"/>
          <w:bottom w:val="nil"/>
          <w:right w:val="nil"/>
          <w:between w:val="nil"/>
        </w:pBdr>
        <w:spacing w:after="0"/>
        <w:jc w:val="both"/>
        <w:rPr>
          <w:rFonts w:eastAsia="Arial" w:cs="Arial"/>
          <w:color w:val="000000"/>
        </w:rPr>
      </w:pPr>
    </w:p>
    <w:p w14:paraId="1E1B8598" w14:textId="77777777" w:rsidR="00FC6DA0" w:rsidRDefault="00FC6DA0" w:rsidP="00236BCC">
      <w:pPr>
        <w:pBdr>
          <w:top w:val="nil"/>
          <w:left w:val="nil"/>
          <w:bottom w:val="nil"/>
          <w:right w:val="nil"/>
          <w:between w:val="nil"/>
        </w:pBdr>
        <w:spacing w:after="0"/>
        <w:ind w:left="709" w:firstLine="0"/>
        <w:jc w:val="both"/>
        <w:rPr>
          <w:rFonts w:eastAsia="Arial" w:cs="Arial"/>
          <w:color w:val="000000"/>
        </w:rPr>
      </w:pPr>
    </w:p>
    <w:p w14:paraId="314415FE" w14:textId="77777777" w:rsidR="00236BCC" w:rsidRDefault="00236BCC" w:rsidP="00236BCC">
      <w:pPr>
        <w:spacing w:after="0"/>
        <w:ind w:firstLine="0"/>
        <w:rPr>
          <w:b/>
          <w:bCs/>
        </w:rPr>
      </w:pPr>
    </w:p>
    <w:p w14:paraId="270B372D" w14:textId="77777777" w:rsidR="00236BCC" w:rsidRDefault="00236BCC" w:rsidP="00236BCC">
      <w:pPr>
        <w:spacing w:after="0"/>
        <w:ind w:firstLine="0"/>
        <w:rPr>
          <w:b/>
          <w:bCs/>
        </w:rPr>
      </w:pPr>
    </w:p>
    <w:p w14:paraId="179BB66D" w14:textId="1C0C8306" w:rsidR="003D2C49" w:rsidRPr="003D2C49" w:rsidRDefault="003D2C49" w:rsidP="0004177A">
      <w:pPr>
        <w:pStyle w:val="Ttulo1"/>
        <w:ind w:firstLine="0"/>
      </w:pPr>
      <w:bookmarkStart w:id="16" w:name="_Toc57238609"/>
      <w:r w:rsidRPr="003D2C49">
        <w:lastRenderedPageBreak/>
        <w:t xml:space="preserve">CAPÍTULO 2. FACTORES </w:t>
      </w:r>
      <w:proofErr w:type="gramStart"/>
      <w:r w:rsidRPr="003D2C49">
        <w:t>FÍSICO BIÓTICOS</w:t>
      </w:r>
      <w:bookmarkEnd w:id="16"/>
      <w:proofErr w:type="gramEnd"/>
    </w:p>
    <w:p w14:paraId="57F9FBD1" w14:textId="77777777" w:rsidR="0004177A" w:rsidRDefault="0004177A" w:rsidP="0004177A">
      <w:pPr>
        <w:pStyle w:val="Ttulo2"/>
        <w:ind w:firstLine="0"/>
      </w:pPr>
      <w:bookmarkStart w:id="17" w:name="_Toc57238610"/>
      <w:r>
        <w:t xml:space="preserve">2.1 </w:t>
      </w:r>
      <w:r w:rsidR="006371D8" w:rsidRPr="00960EFA">
        <w:t>Suelo</w:t>
      </w:r>
      <w:r w:rsidR="003D2C49" w:rsidRPr="00960EFA">
        <w:t>.</w:t>
      </w:r>
      <w:bookmarkEnd w:id="17"/>
    </w:p>
    <w:p w14:paraId="3CB10F03" w14:textId="098BE96D" w:rsidR="0087017A" w:rsidRPr="0004177A" w:rsidRDefault="0004177A" w:rsidP="0004177A">
      <w:pPr>
        <w:pStyle w:val="Ttulo3"/>
        <w:spacing w:line="240" w:lineRule="auto"/>
        <w:ind w:firstLine="0"/>
        <w:rPr>
          <w:bCs/>
        </w:rPr>
      </w:pPr>
      <w:bookmarkStart w:id="18" w:name="_Toc57238611"/>
      <w:r>
        <w:t xml:space="preserve">2.1.1 </w:t>
      </w:r>
      <w:r w:rsidR="006371D8" w:rsidRPr="00960EFA">
        <w:t>Usos del suelo.</w:t>
      </w:r>
      <w:bookmarkEnd w:id="18"/>
    </w:p>
    <w:p w14:paraId="6F99BD9A" w14:textId="77777777" w:rsidR="0087017A" w:rsidRDefault="006371D8" w:rsidP="0004177A">
      <w:pPr>
        <w:pBdr>
          <w:top w:val="nil"/>
          <w:left w:val="nil"/>
          <w:bottom w:val="nil"/>
          <w:right w:val="nil"/>
          <w:between w:val="nil"/>
        </w:pBdr>
        <w:spacing w:after="0"/>
        <w:ind w:left="567"/>
        <w:jc w:val="both"/>
        <w:rPr>
          <w:rFonts w:eastAsia="Arial" w:cs="Arial"/>
        </w:rPr>
      </w:pPr>
      <w:r>
        <w:rPr>
          <w:rFonts w:eastAsia="Arial" w:cs="Arial"/>
        </w:rPr>
        <w:t xml:space="preserve">En la localidad de Los Mártires el 35,4% del área de los predios corresponde a aquellos que tienen como principal el uso residencial. El uso de servicios con el 23,8% y el comercial con el 22,3%, le siguen en proporción. El uso dotacional participa con un 15,3%. Así, se observa una fuerte mezcla de usos en esta localidad. </w:t>
      </w:r>
    </w:p>
    <w:p w14:paraId="780BC324" w14:textId="77777777" w:rsidR="0087017A" w:rsidRDefault="0087017A" w:rsidP="00236BCC">
      <w:pPr>
        <w:pBdr>
          <w:top w:val="nil"/>
          <w:left w:val="nil"/>
          <w:bottom w:val="nil"/>
          <w:right w:val="nil"/>
          <w:between w:val="nil"/>
        </w:pBdr>
        <w:spacing w:after="0"/>
        <w:ind w:left="709"/>
        <w:jc w:val="both"/>
        <w:rPr>
          <w:rFonts w:eastAsia="Arial" w:cs="Arial"/>
        </w:rPr>
      </w:pPr>
    </w:p>
    <w:p w14:paraId="764A2234" w14:textId="77777777" w:rsidR="0087017A" w:rsidRDefault="006371D8" w:rsidP="00236BCC">
      <w:pPr>
        <w:pBdr>
          <w:top w:val="nil"/>
          <w:left w:val="nil"/>
          <w:bottom w:val="nil"/>
          <w:right w:val="nil"/>
          <w:between w:val="nil"/>
        </w:pBdr>
        <w:spacing w:after="0"/>
        <w:ind w:left="709"/>
        <w:jc w:val="both"/>
        <w:rPr>
          <w:rFonts w:eastAsia="Arial" w:cs="Arial"/>
        </w:rPr>
      </w:pPr>
      <w:r>
        <w:rPr>
          <w:rFonts w:eastAsia="Arial" w:cs="Arial"/>
        </w:rPr>
        <w:t>Entre las 19 localidades con usos urbanos, Los Mártires tiene el mayor porcentaje de área de predios con uso principal comercial, y es la tercera con mayor porcentaje en el uso de servicios.</w:t>
      </w:r>
    </w:p>
    <w:p w14:paraId="269CEC35" w14:textId="4A9AFC7C" w:rsidR="0087017A" w:rsidRPr="00960EFA" w:rsidRDefault="0004177A" w:rsidP="0004177A">
      <w:pPr>
        <w:pStyle w:val="Ttulo3"/>
        <w:ind w:firstLine="0"/>
      </w:pPr>
      <w:bookmarkStart w:id="19" w:name="_Toc57238612"/>
      <w:r>
        <w:t xml:space="preserve">2.1.2 </w:t>
      </w:r>
      <w:r w:rsidR="006371D8" w:rsidRPr="00960EFA">
        <w:t>Suelo urbano.</w:t>
      </w:r>
      <w:bookmarkEnd w:id="19"/>
    </w:p>
    <w:p w14:paraId="443A9788" w14:textId="77777777" w:rsidR="0087017A" w:rsidRDefault="006371D8" w:rsidP="00236BCC">
      <w:pPr>
        <w:spacing w:after="0"/>
        <w:ind w:left="765"/>
        <w:jc w:val="both"/>
        <w:rPr>
          <w:rFonts w:eastAsia="Arial" w:cs="Arial"/>
        </w:rPr>
      </w:pPr>
      <w:proofErr w:type="gramStart"/>
      <w:r>
        <w:rPr>
          <w:rFonts w:eastAsia="Arial" w:cs="Arial"/>
        </w:rPr>
        <w:t>De acuerdo a</w:t>
      </w:r>
      <w:proofErr w:type="gramEnd"/>
      <w:r>
        <w:rPr>
          <w:rFonts w:eastAsia="Arial" w:cs="Arial"/>
        </w:rPr>
        <w:t xml:space="preserve"> la Ley 388 de 1997, el suelo urbano se define como: “las áreas del territorio distrital o municipal destinadas a usos urbanos por el plan de ordenamiento, que cuenten con infraestructura vial y redes primarias de energía, acueducto y alcantarillado, posibilitándose su urbanización y edificación, según sea el caso. Podrán pertenecer a esta categoría aquellas zonas con procesos de urbanización incompletos, comprendidos en áreas consolidadas con edificación, que se definan como áreas de mejoramiento integral en los planes de ordenamiento territorial. Las áreas que conforman el suelo urbano serán delimitadas por perímetros y podrán incluir los centros poblados de los corregimientos. En ningún caso el perímetro urbano podrá ser mayor que el denominado perímetro de servicios públicos o sanitario.” </w:t>
      </w:r>
    </w:p>
    <w:p w14:paraId="16D423BC" w14:textId="77777777" w:rsidR="0087017A" w:rsidRDefault="0087017A" w:rsidP="00236BCC">
      <w:pPr>
        <w:spacing w:after="0"/>
        <w:ind w:left="765"/>
        <w:jc w:val="both"/>
        <w:rPr>
          <w:rFonts w:eastAsia="Arial" w:cs="Arial"/>
        </w:rPr>
      </w:pPr>
    </w:p>
    <w:p w14:paraId="636BA947" w14:textId="77777777" w:rsidR="0087017A" w:rsidRDefault="006371D8" w:rsidP="00236BCC">
      <w:pPr>
        <w:spacing w:after="0"/>
        <w:ind w:left="765"/>
        <w:jc w:val="both"/>
        <w:rPr>
          <w:rFonts w:eastAsia="Arial" w:cs="Arial"/>
        </w:rPr>
      </w:pPr>
      <w:r>
        <w:rPr>
          <w:rFonts w:eastAsia="Arial" w:cs="Arial"/>
        </w:rPr>
        <w:t>En el siguiente cuadro, se presenta la extensión en hectáreas de las localidades, y el número de sectores catastrales y manzanas en el área urbana. Los Mártires cuenta con 715 manzanas distribuidas en 20 sectores catastrales. Con 651,4 hectáreas, participa de un 1,7% de la superficie urbana de la ciudad.</w:t>
      </w:r>
    </w:p>
    <w:p w14:paraId="3449FBA9" w14:textId="77777777" w:rsidR="0087017A" w:rsidRDefault="0087017A" w:rsidP="00236BCC">
      <w:pPr>
        <w:spacing w:after="0"/>
        <w:ind w:left="765"/>
        <w:jc w:val="both"/>
        <w:rPr>
          <w:rFonts w:eastAsia="Arial" w:cs="Arial"/>
        </w:rPr>
      </w:pPr>
    </w:p>
    <w:p w14:paraId="71BD99EF" w14:textId="4A61C625" w:rsidR="00D67781" w:rsidRPr="002523A9" w:rsidRDefault="00D67781" w:rsidP="00D67781">
      <w:pPr>
        <w:pStyle w:val="Descripcin"/>
        <w:keepNext/>
        <w:jc w:val="center"/>
        <w:rPr>
          <w:color w:val="auto"/>
        </w:rPr>
      </w:pPr>
      <w:bookmarkStart w:id="20" w:name="_Toc57227486"/>
      <w:r w:rsidRPr="002523A9">
        <w:rPr>
          <w:color w:val="auto"/>
        </w:rPr>
        <w:lastRenderedPageBreak/>
        <w:t xml:space="preserve">Tabla </w:t>
      </w:r>
      <w:r w:rsidRPr="002523A9">
        <w:rPr>
          <w:color w:val="auto"/>
        </w:rPr>
        <w:fldChar w:fldCharType="begin"/>
      </w:r>
      <w:r w:rsidRPr="002523A9">
        <w:rPr>
          <w:color w:val="auto"/>
        </w:rPr>
        <w:instrText xml:space="preserve"> SEQ Tabla \* ARABIC </w:instrText>
      </w:r>
      <w:r w:rsidRPr="002523A9">
        <w:rPr>
          <w:color w:val="auto"/>
        </w:rPr>
        <w:fldChar w:fldCharType="separate"/>
      </w:r>
      <w:r w:rsidR="00C37D33" w:rsidRPr="002523A9">
        <w:rPr>
          <w:noProof/>
          <w:color w:val="auto"/>
        </w:rPr>
        <w:t>1</w:t>
      </w:r>
      <w:r w:rsidRPr="002523A9">
        <w:rPr>
          <w:color w:val="auto"/>
        </w:rPr>
        <w:fldChar w:fldCharType="end"/>
      </w:r>
      <w:r w:rsidRPr="002523A9">
        <w:rPr>
          <w:color w:val="auto"/>
        </w:rPr>
        <w:t>. Extensión, sectores catastrales.</w:t>
      </w:r>
      <w:bookmarkEnd w:id="20"/>
    </w:p>
    <w:p w14:paraId="73F9E475" w14:textId="77777777" w:rsidR="00E05275" w:rsidRDefault="000F797F" w:rsidP="00E05275">
      <w:pPr>
        <w:keepNext/>
        <w:spacing w:after="0"/>
        <w:ind w:left="765"/>
        <w:jc w:val="center"/>
      </w:pPr>
      <w:r>
        <w:rPr>
          <w:rFonts w:eastAsia="Arial" w:cs="Arial"/>
          <w:noProof/>
        </w:rPr>
        <w:drawing>
          <wp:inline distT="0" distB="0" distL="0" distR="0" wp14:anchorId="6FFF3FB1" wp14:editId="64078CF7">
            <wp:extent cx="4630420" cy="5107305"/>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30420" cy="5107305"/>
                    </a:xfrm>
                    <a:prstGeom prst="rect">
                      <a:avLst/>
                    </a:prstGeom>
                    <a:noFill/>
                    <a:ln>
                      <a:noFill/>
                    </a:ln>
                  </pic:spPr>
                </pic:pic>
              </a:graphicData>
            </a:graphic>
          </wp:inline>
        </w:drawing>
      </w:r>
    </w:p>
    <w:p w14:paraId="17FD1998" w14:textId="72373611" w:rsidR="000F797F" w:rsidRPr="00D67781" w:rsidRDefault="00D67781" w:rsidP="00D67781">
      <w:pPr>
        <w:pStyle w:val="Descripcin"/>
        <w:spacing w:after="0"/>
        <w:jc w:val="center"/>
        <w:rPr>
          <w:rFonts w:eastAsia="Arial" w:cs="Arial"/>
          <w:i w:val="0"/>
          <w:iCs w:val="0"/>
          <w:color w:val="auto"/>
        </w:rPr>
      </w:pPr>
      <w:r w:rsidRPr="00D67781">
        <w:rPr>
          <w:color w:val="auto"/>
        </w:rPr>
        <w:t xml:space="preserve">       </w:t>
      </w:r>
      <w:r w:rsidR="000F797F" w:rsidRPr="00D67781">
        <w:rPr>
          <w:rFonts w:eastAsia="Arial" w:cs="Arial"/>
          <w:i w:val="0"/>
          <w:iCs w:val="0"/>
          <w:color w:val="auto"/>
        </w:rPr>
        <w:t>Fuente: Monografía de localidades. No 14 Los Mártires.</w:t>
      </w:r>
    </w:p>
    <w:p w14:paraId="45C3DC7D" w14:textId="7A3043F2" w:rsidR="0087017A" w:rsidRPr="00236BCC" w:rsidRDefault="0004177A" w:rsidP="0004177A">
      <w:pPr>
        <w:pStyle w:val="Ttulo3"/>
        <w:ind w:firstLine="0"/>
        <w:rPr>
          <w:color w:val="000000"/>
        </w:rPr>
      </w:pPr>
      <w:bookmarkStart w:id="21" w:name="_Toc57238613"/>
      <w:r>
        <w:rPr>
          <w:color w:val="000000"/>
        </w:rPr>
        <w:t xml:space="preserve">2.1.3 </w:t>
      </w:r>
      <w:r w:rsidR="006371D8" w:rsidRPr="00236BCC">
        <w:rPr>
          <w:color w:val="000000"/>
        </w:rPr>
        <w:t>Unidades de Planeamiento Zonal (UPZ)</w:t>
      </w:r>
      <w:bookmarkEnd w:id="21"/>
    </w:p>
    <w:p w14:paraId="05EE8034" w14:textId="7E267D5D" w:rsidR="0087017A" w:rsidRDefault="006371D8" w:rsidP="00236BCC">
      <w:pPr>
        <w:pBdr>
          <w:top w:val="nil"/>
          <w:left w:val="nil"/>
          <w:bottom w:val="nil"/>
          <w:right w:val="nil"/>
          <w:between w:val="nil"/>
        </w:pBdr>
        <w:spacing w:after="0"/>
        <w:ind w:left="720"/>
        <w:jc w:val="both"/>
        <w:rPr>
          <w:rFonts w:eastAsia="Arial" w:cs="Arial"/>
        </w:rPr>
      </w:pPr>
      <w:r>
        <w:rPr>
          <w:rFonts w:eastAsia="Arial" w:cs="Arial"/>
        </w:rPr>
        <w:t>La localidad de Los Mártires tiene 2 UPZ, las cuales se clasifican como se muestra en la siguiente tabla:</w:t>
      </w:r>
    </w:p>
    <w:p w14:paraId="25A45099" w14:textId="77777777" w:rsidR="00236BCC" w:rsidRDefault="00236BCC" w:rsidP="00236BCC">
      <w:pPr>
        <w:pBdr>
          <w:top w:val="nil"/>
          <w:left w:val="nil"/>
          <w:bottom w:val="nil"/>
          <w:right w:val="nil"/>
          <w:between w:val="nil"/>
        </w:pBdr>
        <w:spacing w:after="0"/>
        <w:ind w:left="720"/>
        <w:jc w:val="both"/>
        <w:rPr>
          <w:rFonts w:eastAsia="Arial" w:cs="Arial"/>
        </w:rPr>
      </w:pPr>
    </w:p>
    <w:p w14:paraId="1AF0AA0F" w14:textId="25B310B1" w:rsidR="00D67781" w:rsidRPr="002523A9" w:rsidRDefault="00D67781" w:rsidP="00D67781">
      <w:pPr>
        <w:pStyle w:val="Descripcin"/>
        <w:keepNext/>
        <w:jc w:val="center"/>
        <w:rPr>
          <w:color w:val="auto"/>
        </w:rPr>
      </w:pPr>
      <w:bookmarkStart w:id="22" w:name="_Toc57227487"/>
      <w:r w:rsidRPr="002523A9">
        <w:rPr>
          <w:color w:val="auto"/>
        </w:rPr>
        <w:t xml:space="preserve">Tabla </w:t>
      </w:r>
      <w:r w:rsidRPr="002523A9">
        <w:rPr>
          <w:color w:val="auto"/>
        </w:rPr>
        <w:fldChar w:fldCharType="begin"/>
      </w:r>
      <w:r w:rsidRPr="002523A9">
        <w:rPr>
          <w:color w:val="auto"/>
        </w:rPr>
        <w:instrText xml:space="preserve"> SEQ Tabla \* ARABIC </w:instrText>
      </w:r>
      <w:r w:rsidRPr="002523A9">
        <w:rPr>
          <w:color w:val="auto"/>
        </w:rPr>
        <w:fldChar w:fldCharType="separate"/>
      </w:r>
      <w:r w:rsidR="00C37D33" w:rsidRPr="002523A9">
        <w:rPr>
          <w:noProof/>
          <w:color w:val="auto"/>
        </w:rPr>
        <w:t>2</w:t>
      </w:r>
      <w:r w:rsidRPr="002523A9">
        <w:rPr>
          <w:color w:val="auto"/>
        </w:rPr>
        <w:fldChar w:fldCharType="end"/>
      </w:r>
      <w:r w:rsidRPr="002523A9">
        <w:rPr>
          <w:color w:val="auto"/>
        </w:rPr>
        <w:t>. UPZ Los Mártires</w:t>
      </w:r>
      <w:bookmarkEnd w:id="22"/>
    </w:p>
    <w:p w14:paraId="275A6678" w14:textId="197E734B" w:rsidR="00BA3F76" w:rsidRDefault="00BA3F76" w:rsidP="00236BCC">
      <w:pPr>
        <w:pBdr>
          <w:top w:val="nil"/>
          <w:left w:val="nil"/>
          <w:bottom w:val="nil"/>
          <w:right w:val="nil"/>
          <w:between w:val="nil"/>
        </w:pBdr>
        <w:spacing w:after="0"/>
        <w:ind w:left="720"/>
        <w:jc w:val="center"/>
        <w:rPr>
          <w:rFonts w:eastAsia="Arial" w:cs="Arial"/>
        </w:rPr>
      </w:pPr>
      <w:r>
        <w:rPr>
          <w:rFonts w:eastAsia="Arial" w:cs="Arial"/>
          <w:noProof/>
        </w:rPr>
        <w:drawing>
          <wp:inline distT="0" distB="0" distL="0" distR="0" wp14:anchorId="498D2FE8" wp14:editId="2BBC7D3E">
            <wp:extent cx="5139558" cy="855980"/>
            <wp:effectExtent l="0" t="0" r="4445" b="127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41754" cy="856346"/>
                    </a:xfrm>
                    <a:prstGeom prst="rect">
                      <a:avLst/>
                    </a:prstGeom>
                    <a:noFill/>
                    <a:ln>
                      <a:noFill/>
                    </a:ln>
                  </pic:spPr>
                </pic:pic>
              </a:graphicData>
            </a:graphic>
          </wp:inline>
        </w:drawing>
      </w:r>
    </w:p>
    <w:p w14:paraId="5C0AA36F" w14:textId="77777777" w:rsidR="00BA3F76" w:rsidRPr="00D67781" w:rsidRDefault="00BA3F76" w:rsidP="00236BCC">
      <w:pPr>
        <w:pBdr>
          <w:top w:val="nil"/>
          <w:left w:val="nil"/>
          <w:bottom w:val="nil"/>
          <w:right w:val="nil"/>
          <w:between w:val="nil"/>
        </w:pBdr>
        <w:spacing w:after="0" w:line="240" w:lineRule="auto"/>
        <w:ind w:left="765"/>
        <w:jc w:val="center"/>
        <w:rPr>
          <w:rFonts w:eastAsia="Arial" w:cs="Arial"/>
          <w:i/>
          <w:iCs/>
          <w:sz w:val="18"/>
          <w:szCs w:val="18"/>
        </w:rPr>
      </w:pPr>
      <w:r w:rsidRPr="00D67781">
        <w:rPr>
          <w:rFonts w:eastAsia="Arial" w:cs="Arial"/>
          <w:i/>
          <w:iCs/>
          <w:sz w:val="18"/>
          <w:szCs w:val="18"/>
        </w:rPr>
        <w:t>Fuente: Monografía de localidades. No 14 Los Mártires.</w:t>
      </w:r>
    </w:p>
    <w:p w14:paraId="2319D206" w14:textId="77777777" w:rsidR="00BA3F76" w:rsidRDefault="00BA3F76" w:rsidP="00236BCC">
      <w:pPr>
        <w:pBdr>
          <w:top w:val="nil"/>
          <w:left w:val="nil"/>
          <w:bottom w:val="nil"/>
          <w:right w:val="nil"/>
          <w:between w:val="nil"/>
        </w:pBdr>
        <w:spacing w:after="0"/>
        <w:ind w:left="720"/>
        <w:jc w:val="both"/>
        <w:rPr>
          <w:rFonts w:eastAsia="Arial" w:cs="Arial"/>
        </w:rPr>
      </w:pPr>
    </w:p>
    <w:p w14:paraId="5940CCC8" w14:textId="77777777" w:rsidR="0087017A" w:rsidRDefault="006371D8" w:rsidP="00236BCC">
      <w:pPr>
        <w:pBdr>
          <w:top w:val="nil"/>
          <w:left w:val="nil"/>
          <w:bottom w:val="nil"/>
          <w:right w:val="nil"/>
          <w:between w:val="nil"/>
        </w:pBdr>
        <w:spacing w:after="0"/>
        <w:ind w:left="851"/>
        <w:jc w:val="both"/>
        <w:rPr>
          <w:rFonts w:eastAsia="Arial" w:cs="Arial"/>
        </w:rPr>
      </w:pPr>
      <w:r>
        <w:rPr>
          <w:rFonts w:eastAsia="Arial" w:cs="Arial"/>
        </w:rPr>
        <w:t xml:space="preserve">La ubicación, extensión y límites de cada una de las UPZ se describe a continuación: </w:t>
      </w:r>
    </w:p>
    <w:p w14:paraId="743F2555" w14:textId="77777777" w:rsidR="0087017A" w:rsidRDefault="006371D8" w:rsidP="00236BCC">
      <w:pPr>
        <w:pBdr>
          <w:top w:val="nil"/>
          <w:left w:val="nil"/>
          <w:bottom w:val="nil"/>
          <w:right w:val="nil"/>
          <w:between w:val="nil"/>
        </w:pBdr>
        <w:spacing w:after="0"/>
        <w:ind w:left="851"/>
        <w:jc w:val="both"/>
        <w:rPr>
          <w:rFonts w:eastAsia="Arial" w:cs="Arial"/>
        </w:rPr>
      </w:pPr>
      <w:r>
        <w:rPr>
          <w:rFonts w:eastAsia="Arial" w:cs="Arial"/>
        </w:rPr>
        <w:t>La UPZ Santa Isabel se localiza en el costado sur de Los Mártires. Tiene una extensión de 200,5 hectáreas, equivalentes al 30,8% del total del área de las UPZ de la localidad. Limita, por el norte con la UPZ La Sabana (Avenida Los Comuneros o Avenida Calle 6); por el oriente con la UPZ Las Cruces (Avenida Caracas o Avenida Carrera 14) de la localidad Santa Fe; por el sur con la UPZ Restrepo (Avenida de la Hortúa o Avenida Calle 1 y Avenida Fucha o Avenida Calle 8 Sur) de la localidad Antonio Nariño, y por el occidente, con la UPZ Ciudad Montes (Avenida Ciudad de Quito o Avenida Carrera 30) de la localidad Puente Aranda.</w:t>
      </w:r>
    </w:p>
    <w:p w14:paraId="358812BC" w14:textId="77777777" w:rsidR="0087017A" w:rsidRDefault="0087017A" w:rsidP="00236BCC">
      <w:pPr>
        <w:pBdr>
          <w:top w:val="nil"/>
          <w:left w:val="nil"/>
          <w:bottom w:val="nil"/>
          <w:right w:val="nil"/>
          <w:between w:val="nil"/>
        </w:pBdr>
        <w:spacing w:after="0"/>
        <w:ind w:left="851"/>
        <w:jc w:val="both"/>
        <w:rPr>
          <w:rFonts w:eastAsia="Arial" w:cs="Arial"/>
        </w:rPr>
      </w:pPr>
    </w:p>
    <w:p w14:paraId="40437CA8" w14:textId="2BB4C225" w:rsidR="0087017A" w:rsidRDefault="006371D8" w:rsidP="00236BCC">
      <w:pPr>
        <w:pBdr>
          <w:top w:val="nil"/>
          <w:left w:val="nil"/>
          <w:bottom w:val="nil"/>
          <w:right w:val="nil"/>
          <w:between w:val="nil"/>
        </w:pBdr>
        <w:spacing w:after="0"/>
        <w:ind w:left="851"/>
        <w:jc w:val="both"/>
        <w:rPr>
          <w:rFonts w:eastAsia="Arial" w:cs="Arial"/>
        </w:rPr>
      </w:pPr>
      <w:r>
        <w:rPr>
          <w:rFonts w:eastAsia="Arial" w:cs="Arial"/>
        </w:rPr>
        <w:t xml:space="preserve">La UPZ La Sabana se ubica en el costado norte de Los Mártires. Tiene una extensión de 450,9 hectáreas, equivalentes al 69,2% del total del área de las UPZ de la localidad. Limita, por el norte, con la UPZ Teusaquillo (Avenida Jorge Eliécer Gaitán o Avenida Calle 26) de la localidad del mismo nombre; por el oriente, con la UPZ Las Nieves (Avenida Caracas o Avenida Carrera 14) de la localidad Santa Fe; por el sur, con la UPZ Santa Isabel (Avenida Los Comuneros o Avenida Calle 6), y por el occidente, con la UPZ Zona Industrial (Avenida Ciudad de Quito o Avenida Carrera 30) de la localidad Puente Aranda. </w:t>
      </w:r>
    </w:p>
    <w:p w14:paraId="5088C0A2" w14:textId="77777777" w:rsidR="00236BCC" w:rsidRDefault="00236BCC" w:rsidP="0004177A">
      <w:pPr>
        <w:pStyle w:val="Ttulo2"/>
      </w:pPr>
    </w:p>
    <w:p w14:paraId="5449A1C4" w14:textId="49FE35D5" w:rsidR="0004177A" w:rsidRDefault="0004177A" w:rsidP="0004177A">
      <w:pPr>
        <w:pStyle w:val="Ttulo2"/>
        <w:ind w:firstLine="0"/>
      </w:pPr>
      <w:bookmarkStart w:id="23" w:name="_Toc57238614"/>
      <w:r>
        <w:t xml:space="preserve">2.1.4 </w:t>
      </w:r>
      <w:r w:rsidR="006371D8" w:rsidRPr="00960EFA">
        <w:t>Infraestructura urbana</w:t>
      </w:r>
      <w:bookmarkEnd w:id="23"/>
    </w:p>
    <w:p w14:paraId="702B04A3" w14:textId="3491B140" w:rsidR="0087017A" w:rsidRPr="0004177A" w:rsidRDefault="003323E7" w:rsidP="0004177A">
      <w:pPr>
        <w:pStyle w:val="Ttulo4"/>
        <w:ind w:firstLine="0"/>
        <w:rPr>
          <w:bCs/>
          <w:color w:val="000000"/>
        </w:rPr>
      </w:pPr>
      <w:proofErr w:type="gramStart"/>
      <w:r w:rsidRPr="00960EFA">
        <w:t>2</w:t>
      </w:r>
      <w:r w:rsidR="006371D8" w:rsidRPr="00960EFA">
        <w:t>.1.4.1  Cobertura</w:t>
      </w:r>
      <w:proofErr w:type="gramEnd"/>
      <w:r w:rsidR="006371D8" w:rsidRPr="00960EFA">
        <w:t xml:space="preserve"> en servicios públicos domiciliarios </w:t>
      </w:r>
    </w:p>
    <w:p w14:paraId="534A9250" w14:textId="77777777" w:rsidR="0087017A" w:rsidRDefault="006371D8" w:rsidP="00236BCC">
      <w:pPr>
        <w:pBdr>
          <w:top w:val="nil"/>
          <w:left w:val="nil"/>
          <w:bottom w:val="nil"/>
          <w:right w:val="nil"/>
          <w:between w:val="nil"/>
        </w:pBdr>
        <w:spacing w:after="0"/>
        <w:ind w:left="851"/>
        <w:jc w:val="both"/>
        <w:rPr>
          <w:rFonts w:eastAsia="Arial" w:cs="Arial"/>
        </w:rPr>
      </w:pPr>
      <w:r>
        <w:rPr>
          <w:rFonts w:eastAsia="Arial" w:cs="Arial"/>
        </w:rPr>
        <w:t xml:space="preserve">Al analizar la cobertura de servicios públicos en la localidad de Los Mártires, de acuerdo con datos de la Encuesta Multipropósito 2017, se encontró lo siguiente: </w:t>
      </w:r>
    </w:p>
    <w:p w14:paraId="7AB5B512" w14:textId="77777777" w:rsidR="00236BCC" w:rsidRDefault="006371D8" w:rsidP="00236BCC">
      <w:pPr>
        <w:pBdr>
          <w:top w:val="nil"/>
          <w:left w:val="nil"/>
          <w:bottom w:val="nil"/>
          <w:right w:val="nil"/>
          <w:between w:val="nil"/>
        </w:pBdr>
        <w:spacing w:after="0"/>
        <w:ind w:left="851"/>
        <w:jc w:val="both"/>
        <w:rPr>
          <w:rFonts w:eastAsia="Arial" w:cs="Arial"/>
        </w:rPr>
      </w:pPr>
      <w:r>
        <w:rPr>
          <w:rFonts w:eastAsia="Arial" w:cs="Arial"/>
        </w:rPr>
        <w:t xml:space="preserve"> </w:t>
      </w:r>
    </w:p>
    <w:p w14:paraId="7BF12864" w14:textId="77777777" w:rsidR="00BF66AC" w:rsidRDefault="006371D8" w:rsidP="00236BCC">
      <w:pPr>
        <w:pBdr>
          <w:top w:val="nil"/>
          <w:left w:val="nil"/>
          <w:bottom w:val="nil"/>
          <w:right w:val="nil"/>
          <w:between w:val="nil"/>
        </w:pBdr>
        <w:spacing w:after="0"/>
        <w:ind w:left="851"/>
        <w:jc w:val="both"/>
        <w:rPr>
          <w:rFonts w:eastAsia="Arial" w:cs="Arial"/>
        </w:rPr>
      </w:pPr>
      <w:r>
        <w:rPr>
          <w:rFonts w:eastAsia="Arial" w:cs="Arial"/>
        </w:rPr>
        <w:t xml:space="preserve">Acueducto: En Los Mártires, este servicio público se encuentra cubierto en un 100%, de manera similar a todas las localidades urbanas de la ciudad, las cuales, en general cuentan con coberturas superiores el 99%. </w:t>
      </w:r>
    </w:p>
    <w:p w14:paraId="059A60B9" w14:textId="1F6EE26D" w:rsidR="0087017A" w:rsidRDefault="006371D8" w:rsidP="00236BCC">
      <w:pPr>
        <w:pBdr>
          <w:top w:val="nil"/>
          <w:left w:val="nil"/>
          <w:bottom w:val="nil"/>
          <w:right w:val="nil"/>
          <w:between w:val="nil"/>
        </w:pBdr>
        <w:spacing w:after="0"/>
        <w:ind w:left="851"/>
        <w:jc w:val="both"/>
        <w:rPr>
          <w:rFonts w:eastAsia="Arial" w:cs="Arial"/>
        </w:rPr>
      </w:pPr>
      <w:r>
        <w:rPr>
          <w:rFonts w:eastAsia="Arial" w:cs="Arial"/>
        </w:rPr>
        <w:t xml:space="preserve"> </w:t>
      </w:r>
    </w:p>
    <w:p w14:paraId="0E7D3EC0" w14:textId="77777777" w:rsidR="0087017A" w:rsidRDefault="006371D8" w:rsidP="00236BCC">
      <w:pPr>
        <w:pBdr>
          <w:top w:val="nil"/>
          <w:left w:val="nil"/>
          <w:bottom w:val="nil"/>
          <w:right w:val="nil"/>
          <w:between w:val="nil"/>
        </w:pBdr>
        <w:spacing w:after="0"/>
        <w:ind w:left="851"/>
        <w:jc w:val="both"/>
        <w:rPr>
          <w:rFonts w:eastAsia="Arial" w:cs="Arial"/>
        </w:rPr>
      </w:pPr>
      <w:r>
        <w:rPr>
          <w:rFonts w:eastAsia="Arial" w:cs="Arial"/>
        </w:rPr>
        <w:t>Alcantarillado: De la misma manera que el servicio de acueducto, un porcentaje del 100% de los hogares de Los Mártires cuenta con el servicio de alcantarillado. Otras Localidades como Fontibón, Engativá, Barrios Unidos y Antonio Nariño, alcanzan también la cobertura total de este servicio.</w:t>
      </w:r>
    </w:p>
    <w:p w14:paraId="75DCFF4C" w14:textId="77777777" w:rsidR="0087017A" w:rsidRDefault="006371D8" w:rsidP="00236BCC">
      <w:pPr>
        <w:pBdr>
          <w:top w:val="nil"/>
          <w:left w:val="nil"/>
          <w:bottom w:val="nil"/>
          <w:right w:val="nil"/>
          <w:between w:val="nil"/>
        </w:pBdr>
        <w:spacing w:after="0"/>
        <w:ind w:left="851"/>
        <w:jc w:val="both"/>
        <w:rPr>
          <w:rFonts w:eastAsia="Arial" w:cs="Arial"/>
        </w:rPr>
      </w:pPr>
      <w:r>
        <w:rPr>
          <w:rFonts w:eastAsia="Arial" w:cs="Arial"/>
        </w:rPr>
        <w:lastRenderedPageBreak/>
        <w:t xml:space="preserve">  </w:t>
      </w:r>
    </w:p>
    <w:p w14:paraId="3A3B059D" w14:textId="77777777" w:rsidR="0087017A" w:rsidRDefault="006371D8" w:rsidP="00236BCC">
      <w:pPr>
        <w:pBdr>
          <w:top w:val="nil"/>
          <w:left w:val="nil"/>
          <w:bottom w:val="nil"/>
          <w:right w:val="nil"/>
          <w:between w:val="nil"/>
        </w:pBdr>
        <w:spacing w:after="0"/>
        <w:ind w:left="851"/>
        <w:jc w:val="both"/>
        <w:rPr>
          <w:rFonts w:eastAsia="Arial" w:cs="Arial"/>
        </w:rPr>
      </w:pPr>
      <w:r>
        <w:rPr>
          <w:rFonts w:eastAsia="Arial" w:cs="Arial"/>
        </w:rPr>
        <w:t>Recolección de basuras: Este servicio también presenta cobertura del 100% en la localidad de Los Mártires. Otras localidades como Bosa, Barrios Unidos y Teusaquillo también alcanzan cobertura total del servicio, mientras que las demás, cuentan con él en porcentajes superiores al 98,7%.</w:t>
      </w:r>
    </w:p>
    <w:p w14:paraId="05532D62" w14:textId="77777777" w:rsidR="0087017A" w:rsidRDefault="006371D8" w:rsidP="00236BCC">
      <w:pPr>
        <w:pBdr>
          <w:top w:val="nil"/>
          <w:left w:val="nil"/>
          <w:bottom w:val="nil"/>
          <w:right w:val="nil"/>
          <w:between w:val="nil"/>
        </w:pBdr>
        <w:spacing w:after="0"/>
        <w:ind w:left="851"/>
        <w:jc w:val="both"/>
        <w:rPr>
          <w:rFonts w:eastAsia="Arial" w:cs="Arial"/>
        </w:rPr>
      </w:pPr>
      <w:r>
        <w:rPr>
          <w:rFonts w:eastAsia="Arial" w:cs="Arial"/>
        </w:rPr>
        <w:t xml:space="preserve">  </w:t>
      </w:r>
    </w:p>
    <w:p w14:paraId="6300B7CE" w14:textId="77777777" w:rsidR="0087017A" w:rsidRDefault="006371D8" w:rsidP="00236BCC">
      <w:pPr>
        <w:pBdr>
          <w:top w:val="nil"/>
          <w:left w:val="nil"/>
          <w:bottom w:val="nil"/>
          <w:right w:val="nil"/>
          <w:between w:val="nil"/>
        </w:pBdr>
        <w:spacing w:after="0"/>
        <w:ind w:left="851"/>
        <w:jc w:val="both"/>
        <w:rPr>
          <w:rFonts w:eastAsia="Arial" w:cs="Arial"/>
        </w:rPr>
      </w:pPr>
      <w:r>
        <w:rPr>
          <w:rFonts w:eastAsia="Arial" w:cs="Arial"/>
        </w:rPr>
        <w:t>Energía eléctrica: La totalidad de las localidades urbanas de la ciudad están cubiertas por este servicio domiciliario en porcentajes mayores al 99,7% y varias de ellas alcanzan el 100%. Para Los Mártires, la tasa de cobertura del servicio es precisamente del 100%.</w:t>
      </w:r>
    </w:p>
    <w:p w14:paraId="2D98444F" w14:textId="77777777" w:rsidR="0087017A" w:rsidRDefault="0087017A" w:rsidP="00236BCC">
      <w:pPr>
        <w:pBdr>
          <w:top w:val="nil"/>
          <w:left w:val="nil"/>
          <w:bottom w:val="nil"/>
          <w:right w:val="nil"/>
          <w:between w:val="nil"/>
        </w:pBdr>
        <w:spacing w:after="0"/>
        <w:ind w:left="851"/>
        <w:jc w:val="both"/>
        <w:rPr>
          <w:rFonts w:eastAsia="Arial" w:cs="Arial"/>
        </w:rPr>
      </w:pPr>
    </w:p>
    <w:p w14:paraId="458168CF" w14:textId="0E4FB993" w:rsidR="0087017A" w:rsidRDefault="006371D8" w:rsidP="00236BCC">
      <w:pPr>
        <w:pBdr>
          <w:top w:val="nil"/>
          <w:left w:val="nil"/>
          <w:bottom w:val="nil"/>
          <w:right w:val="nil"/>
          <w:between w:val="nil"/>
        </w:pBdr>
        <w:spacing w:after="0"/>
        <w:ind w:left="851"/>
        <w:jc w:val="both"/>
        <w:rPr>
          <w:rFonts w:eastAsia="Arial" w:cs="Arial"/>
        </w:rPr>
      </w:pPr>
      <w:r>
        <w:rPr>
          <w:rFonts w:eastAsia="Arial" w:cs="Arial"/>
        </w:rPr>
        <w:t xml:space="preserve">Gas Natural: Este es el servicio que presenta la menor cobertura a nivel Distrital (94,8%). Los Mártires tiene un 84,4% de cobertura en gas natural conectado a red pública, situación que la </w:t>
      </w:r>
      <w:proofErr w:type="gramStart"/>
      <w:r>
        <w:rPr>
          <w:rFonts w:eastAsia="Arial" w:cs="Arial"/>
        </w:rPr>
        <w:t>ubica  como</w:t>
      </w:r>
      <w:proofErr w:type="gramEnd"/>
      <w:r>
        <w:rPr>
          <w:rFonts w:eastAsia="Arial" w:cs="Arial"/>
        </w:rPr>
        <w:t xml:space="preserve"> la cuarta con menor disponibilidad de este servicio. Las localidades con mayor cobertura son Tunjuelito y Bosa, ambas con 98,2% y la de menor con cobertura es La Candelaria con 60,4%.</w:t>
      </w:r>
    </w:p>
    <w:p w14:paraId="3249F2FF" w14:textId="4F1FDB4B" w:rsidR="0087017A" w:rsidRPr="00960EFA" w:rsidRDefault="00481819" w:rsidP="0004177A">
      <w:pPr>
        <w:pStyle w:val="Ttulo4"/>
        <w:ind w:firstLine="0"/>
        <w:rPr>
          <w:bCs/>
        </w:rPr>
      </w:pPr>
      <w:r w:rsidRPr="00960EFA">
        <w:rPr>
          <w:bCs/>
        </w:rPr>
        <w:t>2.</w:t>
      </w:r>
      <w:r w:rsidR="006371D8" w:rsidRPr="00960EFA">
        <w:rPr>
          <w:bCs/>
        </w:rPr>
        <w:t xml:space="preserve">1.4.2 </w:t>
      </w:r>
      <w:bookmarkStart w:id="24" w:name="_Hlk56461966"/>
      <w:r w:rsidR="006371D8" w:rsidRPr="00960EFA">
        <w:rPr>
          <w:bCs/>
        </w:rPr>
        <w:t>Caracterización de la movilidad en la localidad.</w:t>
      </w:r>
      <w:bookmarkEnd w:id="24"/>
    </w:p>
    <w:p w14:paraId="2E7ADD65" w14:textId="77777777" w:rsidR="0087017A" w:rsidRDefault="006371D8" w:rsidP="00236BCC">
      <w:pPr>
        <w:pBdr>
          <w:top w:val="nil"/>
          <w:left w:val="nil"/>
          <w:bottom w:val="nil"/>
          <w:right w:val="nil"/>
          <w:between w:val="nil"/>
        </w:pBdr>
        <w:spacing w:after="0"/>
        <w:ind w:left="851"/>
        <w:jc w:val="both"/>
        <w:rPr>
          <w:rFonts w:eastAsia="Arial" w:cs="Arial"/>
        </w:rPr>
      </w:pPr>
      <w:r>
        <w:rPr>
          <w:rFonts w:eastAsia="Arial" w:cs="Arial"/>
        </w:rPr>
        <w:t xml:space="preserve"> De acuerdo con la Encuesta de Movilidad 2015, la manera en que se desplazan los habitantes de Los Mártires a sus diferentes </w:t>
      </w:r>
      <w:proofErr w:type="gramStart"/>
      <w:r>
        <w:rPr>
          <w:rFonts w:eastAsia="Arial" w:cs="Arial"/>
        </w:rPr>
        <w:t>destinos,</w:t>
      </w:r>
      <w:proofErr w:type="gramEnd"/>
      <w:r>
        <w:rPr>
          <w:rFonts w:eastAsia="Arial" w:cs="Arial"/>
        </w:rPr>
        <w:t xml:space="preserve"> se caracteriza principalmente por los viajes a pie, los desplazamientos en Transmilenio, el uso del Sistema Integrado de Transporte (SITP) o buses y colectivos de transporte público convencional y los desplazamientos en automóvil particular. En efecto, de un poco más 324.900 viajes que realizan diariamente los habitantes de Los Mártires, en el 23,2% de movilizan a pie, el 23,0% utilizan Transmilenio y en el 22,5% se desplazan en buses del SITP o buses tradicionales. A los tres anteriores les siguen el uso del automóvil particular que está presentes en el 13,8% de los viajes y los taxis utilizados en el 4,9%. En Los Mártires, el peso de los viajes en Automóvil es mayor al del total Bogotá, teniendo en cuenta que este medio se usa en el 11,4% del total de viajes en Bogotá, pero en la localidad pesan 2,4 puntos más. De otra parte, los viajes </w:t>
      </w:r>
      <w:proofErr w:type="gramStart"/>
      <w:r>
        <w:rPr>
          <w:rFonts w:eastAsia="Arial" w:cs="Arial"/>
        </w:rPr>
        <w:t>caminando</w:t>
      </w:r>
      <w:proofErr w:type="gramEnd"/>
      <w:r>
        <w:rPr>
          <w:rFonts w:eastAsia="Arial" w:cs="Arial"/>
        </w:rPr>
        <w:t xml:space="preserve"> tienen un mayor peso en el total de la ciudad (30,2%), que, en la localidad de Los Mártires, donde representan aproximadamente 7 puntos menos. </w:t>
      </w:r>
    </w:p>
    <w:p w14:paraId="3A8C466E" w14:textId="28370629" w:rsidR="0087017A" w:rsidRDefault="0087017A" w:rsidP="00236BCC">
      <w:pPr>
        <w:pBdr>
          <w:top w:val="nil"/>
          <w:left w:val="nil"/>
          <w:bottom w:val="nil"/>
          <w:right w:val="nil"/>
          <w:between w:val="nil"/>
        </w:pBdr>
        <w:spacing w:after="0"/>
        <w:ind w:left="1440"/>
        <w:jc w:val="both"/>
        <w:rPr>
          <w:rFonts w:eastAsia="Arial" w:cs="Arial"/>
        </w:rPr>
      </w:pPr>
    </w:p>
    <w:p w14:paraId="61F417C0" w14:textId="6C401E2D" w:rsidR="00C46462" w:rsidRDefault="00C46462" w:rsidP="00236BCC">
      <w:pPr>
        <w:pBdr>
          <w:top w:val="nil"/>
          <w:left w:val="nil"/>
          <w:bottom w:val="nil"/>
          <w:right w:val="nil"/>
          <w:between w:val="nil"/>
        </w:pBdr>
        <w:spacing w:after="0"/>
        <w:ind w:left="1440"/>
        <w:jc w:val="both"/>
        <w:rPr>
          <w:rFonts w:eastAsia="Arial" w:cs="Arial"/>
        </w:rPr>
      </w:pPr>
    </w:p>
    <w:p w14:paraId="72D2A718" w14:textId="77777777" w:rsidR="00C46462" w:rsidRDefault="00C46462" w:rsidP="00236BCC">
      <w:pPr>
        <w:pBdr>
          <w:top w:val="nil"/>
          <w:left w:val="nil"/>
          <w:bottom w:val="nil"/>
          <w:right w:val="nil"/>
          <w:between w:val="nil"/>
        </w:pBdr>
        <w:spacing w:after="0"/>
        <w:ind w:left="1440"/>
        <w:jc w:val="both"/>
        <w:rPr>
          <w:rFonts w:eastAsia="Arial" w:cs="Arial"/>
        </w:rPr>
      </w:pPr>
    </w:p>
    <w:p w14:paraId="3276C287" w14:textId="5C1FE150" w:rsidR="0087017A" w:rsidRPr="00960EFA" w:rsidRDefault="00960EFA" w:rsidP="007148E9">
      <w:pPr>
        <w:pBdr>
          <w:top w:val="nil"/>
          <w:left w:val="nil"/>
          <w:bottom w:val="nil"/>
          <w:right w:val="nil"/>
          <w:between w:val="nil"/>
        </w:pBdr>
        <w:spacing w:after="0"/>
        <w:jc w:val="both"/>
        <w:rPr>
          <w:rFonts w:eastAsia="Arial" w:cs="Arial"/>
          <w:b/>
          <w:bCs/>
        </w:rPr>
      </w:pPr>
      <w:r w:rsidRPr="00960EFA">
        <w:rPr>
          <w:rFonts w:eastAsia="Arial" w:cs="Arial"/>
          <w:b/>
          <w:bCs/>
        </w:rPr>
        <w:lastRenderedPageBreak/>
        <w:t>2.</w:t>
      </w:r>
      <w:r w:rsidR="006371D8" w:rsidRPr="00960EFA">
        <w:rPr>
          <w:rFonts w:eastAsia="Arial" w:cs="Arial"/>
          <w:b/>
          <w:bCs/>
        </w:rPr>
        <w:t xml:space="preserve">.1.4.3 Clasificación y estado de las </w:t>
      </w:r>
      <w:r w:rsidR="00BF66AC">
        <w:rPr>
          <w:rFonts w:eastAsia="Arial" w:cs="Arial"/>
          <w:b/>
          <w:bCs/>
        </w:rPr>
        <w:t>v</w:t>
      </w:r>
      <w:r w:rsidR="006371D8" w:rsidRPr="00960EFA">
        <w:rPr>
          <w:rFonts w:eastAsia="Arial" w:cs="Arial"/>
          <w:b/>
          <w:bCs/>
        </w:rPr>
        <w:t>ía</w:t>
      </w:r>
      <w:r w:rsidR="00BF66AC">
        <w:rPr>
          <w:rFonts w:eastAsia="Arial" w:cs="Arial"/>
          <w:b/>
          <w:bCs/>
        </w:rPr>
        <w:t>s</w:t>
      </w:r>
      <w:r w:rsidR="006371D8" w:rsidRPr="00960EFA">
        <w:rPr>
          <w:rFonts w:eastAsia="Arial" w:cs="Arial"/>
          <w:b/>
          <w:bCs/>
        </w:rPr>
        <w:t>.</w:t>
      </w:r>
    </w:p>
    <w:p w14:paraId="67E899B0" w14:textId="77777777" w:rsidR="0087017A" w:rsidRDefault="006371D8" w:rsidP="00236BCC">
      <w:pPr>
        <w:pBdr>
          <w:top w:val="nil"/>
          <w:left w:val="nil"/>
          <w:bottom w:val="nil"/>
          <w:right w:val="nil"/>
          <w:between w:val="nil"/>
        </w:pBdr>
        <w:spacing w:after="0"/>
        <w:ind w:left="851"/>
        <w:jc w:val="both"/>
        <w:rPr>
          <w:rFonts w:eastAsia="Arial" w:cs="Arial"/>
        </w:rPr>
      </w:pPr>
      <w:r>
        <w:rPr>
          <w:rFonts w:eastAsia="Arial" w:cs="Arial"/>
        </w:rPr>
        <w:t xml:space="preserve">La localidad de Los Mártires cuenta con un total de 21,8 kilómetros lineales, que equivalen a 93,9 kilómetros carril en vías de diferentes tipologías. Según el Plan de Ordenamiento Territorial (POT), las vías urbanas están clasificadas en cuatro mallas jerarquizadas y relacionadas funcionalmente por las intersecciones generadas entre ellas. Estas son las características técnicas de cada una: </w:t>
      </w:r>
    </w:p>
    <w:p w14:paraId="615CE328" w14:textId="64F1237B" w:rsidR="0087017A" w:rsidRDefault="006371D8" w:rsidP="00BF66AC">
      <w:pPr>
        <w:pBdr>
          <w:top w:val="nil"/>
          <w:left w:val="nil"/>
          <w:bottom w:val="nil"/>
          <w:right w:val="nil"/>
          <w:between w:val="nil"/>
        </w:pBdr>
        <w:spacing w:after="0"/>
        <w:ind w:left="851"/>
        <w:jc w:val="both"/>
        <w:rPr>
          <w:rFonts w:eastAsia="Arial" w:cs="Arial"/>
        </w:rPr>
      </w:pPr>
      <w:r>
        <w:rPr>
          <w:rFonts w:eastAsia="Arial" w:cs="Arial"/>
        </w:rPr>
        <w:t xml:space="preserve">Malla vial arterial principal: son las vías de mayor jerarquía; actúan como soporte de la movilidad y accesibilidad metropolitana y regional. Se clasifican en V-0 y V-1. </w:t>
      </w:r>
    </w:p>
    <w:p w14:paraId="11EB060B" w14:textId="77777777" w:rsidR="00BF66AC" w:rsidRDefault="00BF66AC" w:rsidP="00BF66AC">
      <w:pPr>
        <w:pBdr>
          <w:top w:val="nil"/>
          <w:left w:val="nil"/>
          <w:bottom w:val="nil"/>
          <w:right w:val="nil"/>
          <w:between w:val="nil"/>
        </w:pBdr>
        <w:spacing w:after="0"/>
        <w:ind w:left="851"/>
        <w:jc w:val="both"/>
        <w:rPr>
          <w:rFonts w:eastAsia="Arial" w:cs="Arial"/>
        </w:rPr>
      </w:pPr>
    </w:p>
    <w:p w14:paraId="4FFA284B" w14:textId="77777777" w:rsidR="00D11B68" w:rsidRDefault="006371D8" w:rsidP="00BF66AC">
      <w:pPr>
        <w:pBdr>
          <w:top w:val="nil"/>
          <w:left w:val="nil"/>
          <w:bottom w:val="nil"/>
          <w:right w:val="nil"/>
          <w:between w:val="nil"/>
        </w:pBdr>
        <w:spacing w:after="0"/>
        <w:ind w:left="851"/>
        <w:jc w:val="both"/>
        <w:rPr>
          <w:rFonts w:eastAsia="Arial" w:cs="Arial"/>
        </w:rPr>
      </w:pPr>
      <w:r>
        <w:rPr>
          <w:rFonts w:eastAsia="Arial" w:cs="Arial"/>
        </w:rPr>
        <w:t>Malla vial arterial complementaria: son las vías que articulan operacionalmente la malla vial arterial principal, lo que facilita la movilidad de mediana y larga distancia como articulación a escala urbana. Se clasifican en V-2, V-3 y V3E</w:t>
      </w:r>
      <w:r w:rsidR="00D11B68">
        <w:rPr>
          <w:rFonts w:eastAsia="Arial" w:cs="Arial"/>
        </w:rPr>
        <w:t>.</w:t>
      </w:r>
    </w:p>
    <w:p w14:paraId="438356CA" w14:textId="38207375" w:rsidR="0087017A" w:rsidRDefault="006371D8" w:rsidP="00BF66AC">
      <w:pPr>
        <w:pBdr>
          <w:top w:val="nil"/>
          <w:left w:val="nil"/>
          <w:bottom w:val="nil"/>
          <w:right w:val="nil"/>
          <w:between w:val="nil"/>
        </w:pBdr>
        <w:spacing w:after="0"/>
        <w:ind w:left="851"/>
        <w:jc w:val="both"/>
        <w:rPr>
          <w:rFonts w:eastAsia="Arial" w:cs="Arial"/>
        </w:rPr>
      </w:pPr>
      <w:r>
        <w:rPr>
          <w:rFonts w:eastAsia="Arial" w:cs="Arial"/>
        </w:rPr>
        <w:t xml:space="preserve"> </w:t>
      </w:r>
    </w:p>
    <w:p w14:paraId="20A55462" w14:textId="77777777" w:rsidR="0087017A" w:rsidRDefault="006371D8" w:rsidP="00BF66AC">
      <w:pPr>
        <w:pBdr>
          <w:top w:val="nil"/>
          <w:left w:val="nil"/>
          <w:bottom w:val="nil"/>
          <w:right w:val="nil"/>
          <w:between w:val="nil"/>
        </w:pBdr>
        <w:spacing w:after="0"/>
        <w:ind w:left="851"/>
        <w:jc w:val="both"/>
        <w:rPr>
          <w:rFonts w:eastAsia="Arial" w:cs="Arial"/>
        </w:rPr>
      </w:pPr>
      <w:r>
        <w:rPr>
          <w:rFonts w:eastAsia="Arial" w:cs="Arial"/>
        </w:rPr>
        <w:t>Malla vial intermedia: son los tramos viales que conectan la retícula que conforma las mallas arteriales principal y complementaria, y sirven como alternativa de circulación. Permiten el acceso y fluidez de la ciudad a escala zonal. Se designan como V-4R (Vías rurales). Malla vial local: Está conformada por los tramos viales cuya principal función es la de permitir la accesibilidad a las unidades de vivienda.</w:t>
      </w:r>
    </w:p>
    <w:p w14:paraId="01A2F4A5" w14:textId="77777777" w:rsidR="0087017A" w:rsidRDefault="0087017A" w:rsidP="00BF66AC">
      <w:pPr>
        <w:pBdr>
          <w:top w:val="nil"/>
          <w:left w:val="nil"/>
          <w:bottom w:val="nil"/>
          <w:right w:val="nil"/>
          <w:between w:val="nil"/>
        </w:pBdr>
        <w:spacing w:after="0"/>
        <w:ind w:left="851"/>
        <w:jc w:val="both"/>
        <w:rPr>
          <w:rFonts w:eastAsia="Arial" w:cs="Arial"/>
        </w:rPr>
      </w:pPr>
    </w:p>
    <w:p w14:paraId="63900487" w14:textId="77777777" w:rsidR="0087017A" w:rsidRDefault="006371D8" w:rsidP="00BF66AC">
      <w:pPr>
        <w:pBdr>
          <w:top w:val="nil"/>
          <w:left w:val="nil"/>
          <w:bottom w:val="nil"/>
          <w:right w:val="nil"/>
          <w:between w:val="nil"/>
        </w:pBdr>
        <w:spacing w:after="0"/>
        <w:ind w:left="851"/>
        <w:jc w:val="both"/>
        <w:rPr>
          <w:rFonts w:eastAsia="Arial" w:cs="Arial"/>
        </w:rPr>
      </w:pPr>
      <w:r>
        <w:rPr>
          <w:rFonts w:eastAsia="Arial" w:cs="Arial"/>
        </w:rPr>
        <w:t xml:space="preserve">Para la localidad de Los Mártires, de los 21,8 kilómetros lineales de vías, el 76,6% se encuentra construida, el 18,1% está parcialmente construida y el 5,3% se encuentra sin construir. </w:t>
      </w:r>
    </w:p>
    <w:p w14:paraId="5D541F27" w14:textId="4C5A8F09" w:rsidR="0087017A" w:rsidRPr="00A046AB" w:rsidRDefault="0004177A" w:rsidP="0004177A">
      <w:pPr>
        <w:pStyle w:val="Ttulo3"/>
        <w:ind w:firstLine="0"/>
      </w:pPr>
      <w:bookmarkStart w:id="25" w:name="_Toc57238615"/>
      <w:r>
        <w:t xml:space="preserve">2.1.5 </w:t>
      </w:r>
      <w:r w:rsidR="006371D8" w:rsidRPr="00A046AB">
        <w:t>Espacio público.</w:t>
      </w:r>
      <w:bookmarkEnd w:id="25"/>
    </w:p>
    <w:p w14:paraId="0B8C0146" w14:textId="66E10309" w:rsidR="00E17E1A" w:rsidRDefault="00E17E1A" w:rsidP="004E5A87">
      <w:pPr>
        <w:pBdr>
          <w:top w:val="nil"/>
          <w:left w:val="nil"/>
          <w:bottom w:val="nil"/>
          <w:right w:val="nil"/>
          <w:between w:val="nil"/>
        </w:pBdr>
        <w:tabs>
          <w:tab w:val="left" w:pos="567"/>
        </w:tabs>
        <w:spacing w:after="0"/>
        <w:ind w:left="284" w:firstLine="567"/>
        <w:jc w:val="both"/>
      </w:pPr>
      <w:r>
        <w:t xml:space="preserve"> </w:t>
      </w:r>
      <w:proofErr w:type="gramStart"/>
      <w:r>
        <w:t>De acuerdo a</w:t>
      </w:r>
      <w:proofErr w:type="gramEnd"/>
      <w:r>
        <w:t xml:space="preserve"> lo expresado en la Política Pública Distrital de Espacio Público 2019-2038, el espacio público “es un espacio compuesto por elementos naturales y elementos construidos por el hombre. La mayoría de ellos son públicos y otros son privados, que aportan al interés general relacionado con la calidad ambiental, el confort y el ambiente urbano.” Por su parte, el Decreto 190 de 2004 establece que “El Sistema de Espacio Público construido está conformado por los parques distritales y por los espacios públicos peatonales destinados al desplazamiento, encuentro o permanencia de los ciudadanos.”</w:t>
      </w:r>
    </w:p>
    <w:p w14:paraId="25DE96E6" w14:textId="459B6C73" w:rsidR="00E17E1A" w:rsidRDefault="00E17E1A" w:rsidP="00236BCC">
      <w:pPr>
        <w:pBdr>
          <w:top w:val="nil"/>
          <w:left w:val="nil"/>
          <w:bottom w:val="nil"/>
          <w:right w:val="nil"/>
          <w:between w:val="nil"/>
        </w:pBdr>
        <w:spacing w:after="0"/>
        <w:ind w:left="284" w:firstLine="567"/>
        <w:jc w:val="both"/>
      </w:pPr>
      <w:r>
        <w:t xml:space="preserve">De acuerdo con el Reporte Técnico de Indicadores de Espacio Público 2017 del Observatorio del espacio público de Bogotá, “el espacio público total de la ciudad es una sumatoria de los diferentes elementos que hacen parte del espacio público efectivo (parques, </w:t>
      </w:r>
      <w:r>
        <w:lastRenderedPageBreak/>
        <w:t xml:space="preserve">plazas, plazoletas y zonas verdes) y el espacio público no efectivo (sistema vial y Estructura Ecológica Principal). Este indicador es considerado para el DADEP como un indicador base que permite medir cómo esta Bogotá frente al sistema general de espacio público. Nace de la necesidad de tener un indicador que agrupa la mayor cantidad de elementos que se encuentran en el espacio urbano”. </w:t>
      </w:r>
    </w:p>
    <w:p w14:paraId="762E4869" w14:textId="77777777" w:rsidR="00E17E1A" w:rsidRDefault="00E17E1A" w:rsidP="00236BCC">
      <w:pPr>
        <w:pBdr>
          <w:top w:val="nil"/>
          <w:left w:val="nil"/>
          <w:bottom w:val="nil"/>
          <w:right w:val="nil"/>
          <w:between w:val="nil"/>
        </w:pBdr>
        <w:spacing w:after="0"/>
        <w:ind w:left="284" w:firstLine="567"/>
        <w:jc w:val="both"/>
      </w:pPr>
    </w:p>
    <w:p w14:paraId="7434F9C4" w14:textId="79458064" w:rsidR="00E17E1A" w:rsidRDefault="00E17E1A" w:rsidP="00236BCC">
      <w:pPr>
        <w:pBdr>
          <w:top w:val="nil"/>
          <w:left w:val="nil"/>
          <w:bottom w:val="nil"/>
          <w:right w:val="nil"/>
          <w:between w:val="nil"/>
        </w:pBdr>
        <w:spacing w:after="0"/>
        <w:ind w:left="284" w:firstLine="567"/>
        <w:jc w:val="both"/>
      </w:pPr>
      <w:r>
        <w:t>El Observatorio del Espacio Público de Bogotá indica que el estándar de espacio público total para la ciudad es de 21,08 m2/hab. El estándar de Los Mártires es de 24,69 m2/hab.</w:t>
      </w:r>
    </w:p>
    <w:p w14:paraId="7A5B6526" w14:textId="77777777" w:rsidR="00E17E1A" w:rsidRDefault="00E17E1A" w:rsidP="00236BCC">
      <w:pPr>
        <w:pBdr>
          <w:top w:val="nil"/>
          <w:left w:val="nil"/>
          <w:bottom w:val="nil"/>
          <w:right w:val="nil"/>
          <w:between w:val="nil"/>
        </w:pBdr>
        <w:spacing w:after="0"/>
        <w:ind w:left="284" w:firstLine="567"/>
        <w:jc w:val="both"/>
      </w:pPr>
    </w:p>
    <w:p w14:paraId="0D078696" w14:textId="7D42300B" w:rsidR="00E17E1A" w:rsidRDefault="00E17E1A" w:rsidP="00236BCC">
      <w:pPr>
        <w:pBdr>
          <w:top w:val="nil"/>
          <w:left w:val="nil"/>
          <w:bottom w:val="nil"/>
          <w:right w:val="nil"/>
          <w:between w:val="nil"/>
        </w:pBdr>
        <w:spacing w:after="0"/>
        <w:ind w:left="284" w:firstLine="567"/>
        <w:jc w:val="both"/>
      </w:pPr>
      <w:r>
        <w:t>Respecto a la relación de espacio público verde por habitante, vale decir que Los Mártires presentan el peor estándar entre las localidades de la ciudad (solamente 2,11 m2/hab). Por su parte, el espacio público efectivo hace referencia a aquellos espacios “que son de carácter permanente utilizados para el uso, goce y disfrute de la ciudadanía. El Decreto 1077 de 2015 establece que el espacio público efectivo está compuesto por parques, plazas, plazoletas y zonas verdes. Adicionalmente, este indicador refleja la relación de espacio para las actividades recreodeportivas en la ciudad y la población”. El estándar de Los Mártires es de apenas 1,98 m2/hab. Se trata del más bajo en el contexto de las localidades de Bogotá. En buena medida ello exige pensar en procesos urbanísticos que generen parques, plazas y alamedas.</w:t>
      </w:r>
    </w:p>
    <w:p w14:paraId="65C85557" w14:textId="25CA41EA" w:rsidR="00A046AB" w:rsidRPr="0004177A" w:rsidRDefault="0004177A" w:rsidP="0004177A">
      <w:pPr>
        <w:pStyle w:val="Ttulo3"/>
        <w:ind w:firstLine="0"/>
      </w:pPr>
      <w:bookmarkStart w:id="26" w:name="_Toc57238616"/>
      <w:r>
        <w:t xml:space="preserve">2.1.6 </w:t>
      </w:r>
      <w:r w:rsidR="00A046AB" w:rsidRPr="0004177A">
        <w:t>Parques y zonas verdes.</w:t>
      </w:r>
      <w:bookmarkEnd w:id="26"/>
    </w:p>
    <w:p w14:paraId="0E4EB9FF" w14:textId="77777777" w:rsidR="00A046AB" w:rsidRDefault="00A046AB" w:rsidP="00236BCC">
      <w:pPr>
        <w:pStyle w:val="Prrafodelista"/>
        <w:pBdr>
          <w:top w:val="nil"/>
          <w:left w:val="nil"/>
          <w:bottom w:val="nil"/>
          <w:right w:val="nil"/>
          <w:between w:val="nil"/>
        </w:pBdr>
        <w:spacing w:after="0"/>
        <w:ind w:left="284" w:firstLine="567"/>
        <w:jc w:val="both"/>
      </w:pPr>
    </w:p>
    <w:p w14:paraId="23479A4B" w14:textId="57B6790D" w:rsidR="00A046AB" w:rsidRDefault="00A046AB" w:rsidP="00236BCC">
      <w:pPr>
        <w:pStyle w:val="Prrafodelista"/>
        <w:pBdr>
          <w:top w:val="nil"/>
          <w:left w:val="nil"/>
          <w:bottom w:val="nil"/>
          <w:right w:val="nil"/>
          <w:between w:val="nil"/>
        </w:pBdr>
        <w:spacing w:after="0"/>
        <w:ind w:left="284" w:firstLine="567"/>
        <w:jc w:val="both"/>
      </w:pPr>
      <w:proofErr w:type="gramStart"/>
      <w:r>
        <w:t>De acuerdo al</w:t>
      </w:r>
      <w:proofErr w:type="gramEnd"/>
      <w:r>
        <w:t xml:space="preserve"> Reporte Técnico de Indicadores de Espacio Público 2017 del Observatorio del espacio público de Bogotá, “para este indicador, se tomó como base la información del IDRD acerca de los parques metropolitanos y zonales construidos hasta la vigencia 2017. Se contrastó con la información del inventario de Lote Patrimonio Inmobiliario del DADEP y se tomó como base la población registrada por la Secretaría Distrital de Planeación. De esta forma, se toma la cantidad de m² registrados en parques metropolitanos y zonales por UPZ, su población y se hace el cálculo del indicador.” </w:t>
      </w:r>
    </w:p>
    <w:p w14:paraId="7692A2CF" w14:textId="77777777" w:rsidR="00A046AB" w:rsidRDefault="00A046AB" w:rsidP="00236BCC">
      <w:pPr>
        <w:pStyle w:val="Prrafodelista"/>
        <w:pBdr>
          <w:top w:val="nil"/>
          <w:left w:val="nil"/>
          <w:bottom w:val="nil"/>
          <w:right w:val="nil"/>
          <w:between w:val="nil"/>
        </w:pBdr>
        <w:spacing w:after="0"/>
        <w:ind w:left="284" w:firstLine="567"/>
        <w:jc w:val="both"/>
      </w:pPr>
    </w:p>
    <w:p w14:paraId="694EAB1C" w14:textId="060DF4F8" w:rsidR="003F1073" w:rsidRDefault="00A046AB" w:rsidP="00236BCC">
      <w:pPr>
        <w:pStyle w:val="Prrafodelista"/>
        <w:pBdr>
          <w:top w:val="nil"/>
          <w:left w:val="nil"/>
          <w:bottom w:val="nil"/>
          <w:right w:val="nil"/>
          <w:between w:val="nil"/>
        </w:pBdr>
        <w:spacing w:after="0"/>
        <w:ind w:left="284" w:firstLine="567"/>
        <w:jc w:val="both"/>
      </w:pPr>
      <w:r>
        <w:t xml:space="preserve">El estándar de metros cuadrados de parques metropolitanos y zonales por habitante en la localidad de Los Mártires es de 0,61 m2/hab, que se encuentra entre los más bajos de las localidades de Bogotá. </w:t>
      </w:r>
      <w:r w:rsidRPr="00A046AB">
        <w:cr/>
      </w:r>
    </w:p>
    <w:p w14:paraId="4D4CAA6A" w14:textId="4FCF2F0B" w:rsidR="003F1073" w:rsidRDefault="003F1073" w:rsidP="004B2EEA">
      <w:pPr>
        <w:pStyle w:val="Ttulo3"/>
        <w:ind w:firstLine="0"/>
      </w:pPr>
      <w:bookmarkStart w:id="27" w:name="_Toc57238617"/>
      <w:r w:rsidRPr="003F1073">
        <w:lastRenderedPageBreak/>
        <w:t>2.1.7 Arbolado urbano</w:t>
      </w:r>
      <w:r>
        <w:t>.</w:t>
      </w:r>
      <w:bookmarkEnd w:id="27"/>
    </w:p>
    <w:p w14:paraId="07DDE788" w14:textId="5313D457" w:rsidR="00D67781" w:rsidRDefault="00D67781" w:rsidP="00D67781">
      <w:pPr>
        <w:pStyle w:val="Descripcin"/>
        <w:keepNext/>
        <w:jc w:val="center"/>
      </w:pPr>
      <w:bookmarkStart w:id="28" w:name="_Toc57227488"/>
      <w:r w:rsidRPr="002523A9">
        <w:rPr>
          <w:color w:val="auto"/>
        </w:rPr>
        <w:t xml:space="preserve">Tabla </w:t>
      </w:r>
      <w:r w:rsidRPr="002523A9">
        <w:rPr>
          <w:color w:val="auto"/>
        </w:rPr>
        <w:fldChar w:fldCharType="begin"/>
      </w:r>
      <w:r w:rsidRPr="002523A9">
        <w:rPr>
          <w:color w:val="auto"/>
        </w:rPr>
        <w:instrText xml:space="preserve"> SEQ Tabla \* ARABIC </w:instrText>
      </w:r>
      <w:r w:rsidRPr="002523A9">
        <w:rPr>
          <w:color w:val="auto"/>
        </w:rPr>
        <w:fldChar w:fldCharType="separate"/>
      </w:r>
      <w:r w:rsidR="00C37D33" w:rsidRPr="002523A9">
        <w:rPr>
          <w:noProof/>
          <w:color w:val="auto"/>
        </w:rPr>
        <w:t>3</w:t>
      </w:r>
      <w:r w:rsidRPr="002523A9">
        <w:rPr>
          <w:color w:val="auto"/>
        </w:rPr>
        <w:fldChar w:fldCharType="end"/>
      </w:r>
      <w:r w:rsidRPr="002523A9">
        <w:rPr>
          <w:color w:val="auto"/>
        </w:rPr>
        <w:t>.Intervenciones del arbolado urbano y la Jardinería en Localidad de los Mártires</w:t>
      </w:r>
      <w:r w:rsidRPr="00D833ED">
        <w:t>.</w:t>
      </w:r>
      <w:bookmarkEnd w:id="28"/>
    </w:p>
    <w:p w14:paraId="11329607" w14:textId="736104B9" w:rsidR="003F1073" w:rsidRDefault="00605294" w:rsidP="00236BCC">
      <w:pPr>
        <w:pBdr>
          <w:top w:val="nil"/>
          <w:left w:val="nil"/>
          <w:bottom w:val="nil"/>
          <w:right w:val="nil"/>
          <w:between w:val="nil"/>
        </w:pBdr>
        <w:spacing w:after="0"/>
        <w:jc w:val="center"/>
        <w:rPr>
          <w:rFonts w:eastAsia="Arial" w:cs="Arial"/>
        </w:rPr>
      </w:pPr>
      <w:r>
        <w:rPr>
          <w:rFonts w:eastAsia="Arial" w:cs="Arial"/>
          <w:noProof/>
        </w:rPr>
        <w:drawing>
          <wp:inline distT="0" distB="0" distL="0" distR="0" wp14:anchorId="60BD858E" wp14:editId="110D7D74">
            <wp:extent cx="4483420" cy="3096260"/>
            <wp:effectExtent l="0" t="0" r="0" b="889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545130" cy="3138877"/>
                    </a:xfrm>
                    <a:prstGeom prst="rect">
                      <a:avLst/>
                    </a:prstGeom>
                    <a:noFill/>
                    <a:ln>
                      <a:noFill/>
                    </a:ln>
                  </pic:spPr>
                </pic:pic>
              </a:graphicData>
            </a:graphic>
          </wp:inline>
        </w:drawing>
      </w:r>
    </w:p>
    <w:p w14:paraId="684BC96D" w14:textId="02D8A287" w:rsidR="00605294" w:rsidRPr="00D67781" w:rsidRDefault="00605294" w:rsidP="00236BCC">
      <w:pPr>
        <w:pBdr>
          <w:top w:val="nil"/>
          <w:left w:val="nil"/>
          <w:bottom w:val="nil"/>
          <w:right w:val="nil"/>
          <w:between w:val="nil"/>
        </w:pBdr>
        <w:spacing w:after="0" w:line="240" w:lineRule="auto"/>
        <w:ind w:firstLine="142"/>
        <w:jc w:val="center"/>
        <w:rPr>
          <w:rFonts w:eastAsia="Arial" w:cs="Arial"/>
          <w:i/>
          <w:iCs/>
          <w:sz w:val="16"/>
          <w:szCs w:val="16"/>
        </w:rPr>
      </w:pPr>
      <w:r w:rsidRPr="00D67781">
        <w:rPr>
          <w:rFonts w:eastAsia="Arial" w:cs="Arial"/>
          <w:i/>
          <w:iCs/>
          <w:sz w:val="16"/>
          <w:szCs w:val="16"/>
        </w:rPr>
        <w:t>Fuente: Reporte Intervenciones del Jardín Botánico, Subdirección Técnica operativa, en localidad Los mártires 2016-2020</w:t>
      </w:r>
    </w:p>
    <w:p w14:paraId="4BDFBE67" w14:textId="61985973" w:rsidR="00236BCC" w:rsidRPr="00E521B7" w:rsidRDefault="00236BCC" w:rsidP="00236BCC">
      <w:pPr>
        <w:pBdr>
          <w:top w:val="nil"/>
          <w:left w:val="nil"/>
          <w:bottom w:val="nil"/>
          <w:right w:val="nil"/>
          <w:between w:val="nil"/>
        </w:pBdr>
        <w:spacing w:after="0" w:line="240" w:lineRule="auto"/>
        <w:ind w:firstLine="142"/>
        <w:jc w:val="center"/>
        <w:rPr>
          <w:rFonts w:eastAsia="Arial" w:cs="Arial"/>
          <w:sz w:val="16"/>
          <w:szCs w:val="16"/>
        </w:rPr>
      </w:pPr>
    </w:p>
    <w:p w14:paraId="2CAC6E11" w14:textId="77777777" w:rsidR="00236BCC" w:rsidRPr="00605294" w:rsidRDefault="00236BCC" w:rsidP="00236BCC">
      <w:pPr>
        <w:pBdr>
          <w:top w:val="nil"/>
          <w:left w:val="nil"/>
          <w:bottom w:val="nil"/>
          <w:right w:val="nil"/>
          <w:between w:val="nil"/>
        </w:pBdr>
        <w:spacing w:after="0" w:line="240" w:lineRule="auto"/>
        <w:ind w:firstLine="142"/>
        <w:jc w:val="center"/>
        <w:rPr>
          <w:rFonts w:eastAsia="Arial" w:cs="Arial"/>
          <w:b/>
          <w:bCs/>
          <w:sz w:val="16"/>
          <w:szCs w:val="16"/>
        </w:rPr>
      </w:pPr>
    </w:p>
    <w:p w14:paraId="3E132B34" w14:textId="239DA57B" w:rsidR="003F1073" w:rsidRDefault="003F1073" w:rsidP="00236BCC">
      <w:pPr>
        <w:pBdr>
          <w:top w:val="nil"/>
          <w:left w:val="nil"/>
          <w:bottom w:val="nil"/>
          <w:right w:val="nil"/>
          <w:between w:val="nil"/>
        </w:pBdr>
        <w:spacing w:after="0"/>
        <w:ind w:left="426"/>
        <w:jc w:val="both"/>
        <w:rPr>
          <w:rFonts w:eastAsia="Arial" w:cs="Arial"/>
        </w:rPr>
      </w:pPr>
      <w:r>
        <w:rPr>
          <w:rFonts w:eastAsia="Arial" w:cs="Arial"/>
        </w:rPr>
        <w:t>En relación con el reporte contenido en la tabla anterior, se puede concluir que las inte</w:t>
      </w:r>
      <w:r w:rsidR="004E5C2D">
        <w:rPr>
          <w:rFonts w:eastAsia="Arial" w:cs="Arial"/>
        </w:rPr>
        <w:t>rven</w:t>
      </w:r>
      <w:r>
        <w:rPr>
          <w:rFonts w:eastAsia="Arial" w:cs="Arial"/>
        </w:rPr>
        <w:t xml:space="preserve">ciones en la </w:t>
      </w:r>
      <w:r w:rsidR="004E5C2D">
        <w:rPr>
          <w:rFonts w:eastAsia="Arial" w:cs="Arial"/>
        </w:rPr>
        <w:t>l</w:t>
      </w:r>
      <w:r>
        <w:rPr>
          <w:rFonts w:eastAsia="Arial" w:cs="Arial"/>
        </w:rPr>
        <w:t xml:space="preserve">ocalidad de los Mártires entre 2016 y 2020, por modalidad de intervención es la siguiente:  </w:t>
      </w:r>
    </w:p>
    <w:p w14:paraId="006D3B6B" w14:textId="77777777" w:rsidR="003F1073" w:rsidRPr="00605294" w:rsidRDefault="003F1073" w:rsidP="00236BCC">
      <w:pPr>
        <w:pStyle w:val="Prrafodelista"/>
        <w:numPr>
          <w:ilvl w:val="0"/>
          <w:numId w:val="24"/>
        </w:numPr>
        <w:pBdr>
          <w:top w:val="nil"/>
          <w:left w:val="nil"/>
          <w:bottom w:val="nil"/>
          <w:right w:val="nil"/>
          <w:between w:val="nil"/>
        </w:pBdr>
        <w:spacing w:after="0"/>
        <w:ind w:left="927"/>
        <w:jc w:val="both"/>
        <w:rPr>
          <w:rFonts w:eastAsia="Arial" w:cs="Arial"/>
        </w:rPr>
      </w:pPr>
      <w:r w:rsidRPr="00605294">
        <w:rPr>
          <w:rFonts w:eastAsia="Arial" w:cs="Arial"/>
        </w:rPr>
        <w:t xml:space="preserve">Manejo silvicultural: 354 intervenciones entre 2016 y 2019. </w:t>
      </w:r>
    </w:p>
    <w:p w14:paraId="359CDFD6" w14:textId="77777777" w:rsidR="003F1073" w:rsidRPr="00605294" w:rsidRDefault="003F1073" w:rsidP="00236BCC">
      <w:pPr>
        <w:pStyle w:val="Prrafodelista"/>
        <w:numPr>
          <w:ilvl w:val="0"/>
          <w:numId w:val="24"/>
        </w:numPr>
        <w:pBdr>
          <w:top w:val="nil"/>
          <w:left w:val="nil"/>
          <w:bottom w:val="nil"/>
          <w:right w:val="nil"/>
          <w:between w:val="nil"/>
        </w:pBdr>
        <w:spacing w:after="0"/>
        <w:ind w:left="927"/>
        <w:jc w:val="both"/>
        <w:rPr>
          <w:rFonts w:eastAsia="Arial" w:cs="Arial"/>
        </w:rPr>
      </w:pPr>
      <w:r w:rsidRPr="00605294">
        <w:rPr>
          <w:rFonts w:eastAsia="Arial" w:cs="Arial"/>
        </w:rPr>
        <w:t xml:space="preserve">Manejo fitosanitario: un total de 831 intervenciones de manejo integral fitosanitario entre 2016 y 2019. </w:t>
      </w:r>
    </w:p>
    <w:p w14:paraId="6EA6217D" w14:textId="1E11EA5B" w:rsidR="003F1073" w:rsidRPr="00605294" w:rsidRDefault="003F1073" w:rsidP="00236BCC">
      <w:pPr>
        <w:pStyle w:val="Prrafodelista"/>
        <w:numPr>
          <w:ilvl w:val="0"/>
          <w:numId w:val="24"/>
        </w:numPr>
        <w:pBdr>
          <w:top w:val="nil"/>
          <w:left w:val="nil"/>
          <w:bottom w:val="nil"/>
          <w:right w:val="nil"/>
          <w:between w:val="nil"/>
        </w:pBdr>
        <w:spacing w:after="0"/>
        <w:ind w:left="927"/>
        <w:jc w:val="both"/>
        <w:rPr>
          <w:rFonts w:eastAsia="Arial" w:cs="Arial"/>
        </w:rPr>
      </w:pPr>
      <w:r w:rsidRPr="00605294">
        <w:rPr>
          <w:rFonts w:eastAsia="Arial" w:cs="Arial"/>
        </w:rPr>
        <w:t xml:space="preserve">Manejo integral: intervenciones 192 entre 2016 y 2019. </w:t>
      </w:r>
    </w:p>
    <w:p w14:paraId="5C45E50D" w14:textId="6FBB4621" w:rsidR="003F1073" w:rsidRPr="004E5C2D" w:rsidRDefault="003F1073" w:rsidP="00236BCC">
      <w:pPr>
        <w:pStyle w:val="Prrafodelista"/>
        <w:numPr>
          <w:ilvl w:val="0"/>
          <w:numId w:val="24"/>
        </w:numPr>
        <w:pBdr>
          <w:top w:val="nil"/>
          <w:left w:val="nil"/>
          <w:bottom w:val="nil"/>
          <w:right w:val="nil"/>
          <w:between w:val="nil"/>
        </w:pBdr>
        <w:spacing w:after="0"/>
        <w:ind w:left="927"/>
        <w:jc w:val="both"/>
        <w:rPr>
          <w:rFonts w:eastAsia="Arial" w:cs="Arial"/>
        </w:rPr>
      </w:pPr>
      <w:r w:rsidRPr="004E5C2D">
        <w:rPr>
          <w:rFonts w:eastAsia="Arial" w:cs="Arial"/>
        </w:rPr>
        <w:t>Plantación 2016: 143 árboles plantados</w:t>
      </w:r>
      <w:r w:rsidR="004E5C2D" w:rsidRPr="004E5C2D">
        <w:rPr>
          <w:rFonts w:eastAsia="Arial" w:cs="Arial"/>
        </w:rPr>
        <w:t>,</w:t>
      </w:r>
      <w:r w:rsidRPr="004E5C2D">
        <w:rPr>
          <w:rFonts w:eastAsia="Arial" w:cs="Arial"/>
        </w:rPr>
        <w:t xml:space="preserve"> 2017: 58, 2018: 293, 2019: 167</w:t>
      </w:r>
      <w:r w:rsidR="004E5C2D">
        <w:rPr>
          <w:rFonts w:eastAsia="Arial" w:cs="Arial"/>
        </w:rPr>
        <w:t>; t</w:t>
      </w:r>
      <w:r w:rsidRPr="004E5C2D">
        <w:rPr>
          <w:rFonts w:eastAsia="Arial" w:cs="Arial"/>
        </w:rPr>
        <w:t xml:space="preserve">otal de árboles plantados de 2016 a 2020: 661  </w:t>
      </w:r>
    </w:p>
    <w:p w14:paraId="00710AD4" w14:textId="4AB1E03F" w:rsidR="003F1073" w:rsidRPr="00605294" w:rsidRDefault="003F1073" w:rsidP="00236BCC">
      <w:pPr>
        <w:pStyle w:val="Prrafodelista"/>
        <w:numPr>
          <w:ilvl w:val="0"/>
          <w:numId w:val="24"/>
        </w:numPr>
        <w:pBdr>
          <w:top w:val="nil"/>
          <w:left w:val="nil"/>
          <w:bottom w:val="nil"/>
          <w:right w:val="nil"/>
          <w:between w:val="nil"/>
        </w:pBdr>
        <w:spacing w:after="0"/>
        <w:ind w:left="927"/>
        <w:jc w:val="both"/>
        <w:rPr>
          <w:rFonts w:eastAsia="Arial" w:cs="Arial"/>
        </w:rPr>
      </w:pPr>
      <w:r w:rsidRPr="00605294">
        <w:rPr>
          <w:rFonts w:eastAsia="Arial" w:cs="Arial"/>
        </w:rPr>
        <w:t xml:space="preserve">Mantenimiento de árboles: </w:t>
      </w:r>
      <w:r w:rsidR="004E5C2D">
        <w:rPr>
          <w:rFonts w:eastAsia="Arial" w:cs="Arial"/>
        </w:rPr>
        <w:t xml:space="preserve"> en </w:t>
      </w:r>
      <w:r w:rsidRPr="00605294">
        <w:rPr>
          <w:rFonts w:eastAsia="Arial" w:cs="Arial"/>
        </w:rPr>
        <w:t>2016: 1543, en 2017: 1.895 mantenimientos, para</w:t>
      </w:r>
      <w:r w:rsidR="004E5C2D">
        <w:rPr>
          <w:rFonts w:eastAsia="Arial" w:cs="Arial"/>
        </w:rPr>
        <w:t xml:space="preserve"> </w:t>
      </w:r>
      <w:r w:rsidRPr="00605294">
        <w:rPr>
          <w:rFonts w:eastAsia="Arial" w:cs="Arial"/>
        </w:rPr>
        <w:t>2018:2.369, para 2019: 1.907</w:t>
      </w:r>
      <w:r w:rsidR="004E5C2D">
        <w:rPr>
          <w:rFonts w:eastAsia="Arial" w:cs="Arial"/>
        </w:rPr>
        <w:t>, en</w:t>
      </w:r>
      <w:r w:rsidRPr="00605294">
        <w:rPr>
          <w:rFonts w:eastAsia="Arial" w:cs="Arial"/>
        </w:rPr>
        <w:t xml:space="preserve"> 2020:115 – a </w:t>
      </w:r>
      <w:proofErr w:type="gramStart"/>
      <w:r w:rsidRPr="00605294">
        <w:rPr>
          <w:rFonts w:eastAsia="Arial" w:cs="Arial"/>
        </w:rPr>
        <w:t>Marzo</w:t>
      </w:r>
      <w:proofErr w:type="gramEnd"/>
      <w:r w:rsidRPr="00605294">
        <w:rPr>
          <w:rFonts w:eastAsia="Arial" w:cs="Arial"/>
        </w:rPr>
        <w:t>, para un total de</w:t>
      </w:r>
      <w:r w:rsidR="004E5C2D">
        <w:rPr>
          <w:rFonts w:eastAsia="Arial" w:cs="Arial"/>
        </w:rPr>
        <w:t xml:space="preserve"> </w:t>
      </w:r>
      <w:r w:rsidRPr="00605294">
        <w:rPr>
          <w:rFonts w:eastAsia="Arial" w:cs="Arial"/>
        </w:rPr>
        <w:t>7829 mantenimientos referidos a arbolado urbano</w:t>
      </w:r>
      <w:r w:rsidR="004E5C2D">
        <w:rPr>
          <w:rFonts w:eastAsia="Arial" w:cs="Arial"/>
        </w:rPr>
        <w:t>.</w:t>
      </w:r>
      <w:r w:rsidRPr="00605294">
        <w:rPr>
          <w:rFonts w:eastAsia="Arial" w:cs="Arial"/>
        </w:rPr>
        <w:t xml:space="preserve">  </w:t>
      </w:r>
    </w:p>
    <w:p w14:paraId="0BB91819" w14:textId="77777777" w:rsidR="003F1073" w:rsidRPr="00605294" w:rsidRDefault="003F1073" w:rsidP="00236BCC">
      <w:pPr>
        <w:pStyle w:val="Prrafodelista"/>
        <w:numPr>
          <w:ilvl w:val="0"/>
          <w:numId w:val="24"/>
        </w:numPr>
        <w:pBdr>
          <w:top w:val="nil"/>
          <w:left w:val="nil"/>
          <w:bottom w:val="nil"/>
          <w:right w:val="nil"/>
          <w:between w:val="nil"/>
        </w:pBdr>
        <w:spacing w:after="0"/>
        <w:ind w:left="927"/>
        <w:jc w:val="both"/>
        <w:rPr>
          <w:rFonts w:eastAsia="Arial" w:cs="Arial"/>
        </w:rPr>
      </w:pPr>
      <w:r w:rsidRPr="00605294">
        <w:rPr>
          <w:rFonts w:eastAsia="Arial" w:cs="Arial"/>
        </w:rPr>
        <w:t xml:space="preserve">Reposición de arbolado urbano: entre 2016 y 2017 se han realizado 123 reposiciones de individuos arbóreos en la localidad de los Mártires.  </w:t>
      </w:r>
    </w:p>
    <w:p w14:paraId="23EE2ECE" w14:textId="31D3A655" w:rsidR="003F1073" w:rsidRPr="00605294" w:rsidRDefault="003F1073" w:rsidP="00236BCC">
      <w:pPr>
        <w:pStyle w:val="Prrafodelista"/>
        <w:numPr>
          <w:ilvl w:val="0"/>
          <w:numId w:val="24"/>
        </w:numPr>
        <w:pBdr>
          <w:top w:val="nil"/>
          <w:left w:val="nil"/>
          <w:bottom w:val="nil"/>
          <w:right w:val="nil"/>
          <w:between w:val="nil"/>
        </w:pBdr>
        <w:spacing w:after="0"/>
        <w:ind w:left="927"/>
        <w:jc w:val="both"/>
        <w:rPr>
          <w:rFonts w:eastAsia="Arial" w:cs="Arial"/>
        </w:rPr>
      </w:pPr>
      <w:r w:rsidRPr="00605294">
        <w:rPr>
          <w:rFonts w:eastAsia="Arial" w:cs="Arial"/>
        </w:rPr>
        <w:t xml:space="preserve">Privados: plantaciones en conjuntos residenciales entre 2016 a 2019: 159 individuos arbóreos.  </w:t>
      </w:r>
      <w:r w:rsidR="004E5C2D">
        <w:rPr>
          <w:rFonts w:eastAsia="Arial" w:cs="Arial"/>
        </w:rPr>
        <w:t>M2</w:t>
      </w:r>
      <w:r w:rsidRPr="00605294">
        <w:rPr>
          <w:rFonts w:eastAsia="Arial" w:cs="Arial"/>
        </w:rPr>
        <w:t xml:space="preserve"> plantados de jardines: en 2016 se plantaron 1.203</w:t>
      </w:r>
      <w:r w:rsidR="004E5C2D">
        <w:rPr>
          <w:rFonts w:eastAsia="Arial" w:cs="Arial"/>
        </w:rPr>
        <w:t xml:space="preserve"> </w:t>
      </w:r>
      <w:r w:rsidRPr="00605294">
        <w:rPr>
          <w:rFonts w:eastAsia="Arial" w:cs="Arial"/>
        </w:rPr>
        <w:t xml:space="preserve">m2 de jardinería, para </w:t>
      </w:r>
      <w:r w:rsidRPr="00605294">
        <w:rPr>
          <w:rFonts w:eastAsia="Arial" w:cs="Arial"/>
        </w:rPr>
        <w:lastRenderedPageBreak/>
        <w:t xml:space="preserve">el año de 2017: 500, para 2018, 2019: </w:t>
      </w:r>
      <w:proofErr w:type="gramStart"/>
      <w:r w:rsidRPr="00605294">
        <w:rPr>
          <w:rFonts w:eastAsia="Arial" w:cs="Arial"/>
        </w:rPr>
        <w:t>2077,</w:t>
      </w:r>
      <w:r w:rsidR="004E5C2D">
        <w:rPr>
          <w:rFonts w:eastAsia="Arial" w:cs="Arial"/>
        </w:rPr>
        <w:t xml:space="preserve"> </w:t>
      </w:r>
      <w:r w:rsidRPr="00605294">
        <w:rPr>
          <w:rFonts w:eastAsia="Arial" w:cs="Arial"/>
        </w:rPr>
        <w:t xml:space="preserve"> lo</w:t>
      </w:r>
      <w:proofErr w:type="gramEnd"/>
      <w:r w:rsidRPr="00605294">
        <w:rPr>
          <w:rFonts w:eastAsia="Arial" w:cs="Arial"/>
        </w:rPr>
        <w:t xml:space="preserve"> corrido de 2020 hasta el mes de Marzo: 100 para un total de 3880 m 2 de jardinería nueva. </w:t>
      </w:r>
    </w:p>
    <w:p w14:paraId="038665C3" w14:textId="1FA0DB94" w:rsidR="003F1073" w:rsidRPr="00605294" w:rsidRDefault="003F1073" w:rsidP="00236BCC">
      <w:pPr>
        <w:pStyle w:val="Prrafodelista"/>
        <w:numPr>
          <w:ilvl w:val="0"/>
          <w:numId w:val="24"/>
        </w:numPr>
        <w:pBdr>
          <w:top w:val="nil"/>
          <w:left w:val="nil"/>
          <w:bottom w:val="nil"/>
          <w:right w:val="nil"/>
          <w:between w:val="nil"/>
        </w:pBdr>
        <w:spacing w:after="0"/>
        <w:ind w:left="927"/>
        <w:jc w:val="both"/>
        <w:rPr>
          <w:rFonts w:eastAsia="Arial" w:cs="Arial"/>
        </w:rPr>
      </w:pPr>
      <w:r w:rsidRPr="00605294">
        <w:rPr>
          <w:rFonts w:eastAsia="Arial" w:cs="Arial"/>
        </w:rPr>
        <w:t>Mantenimiento de jardines: en la Localidad Los Mártires, para 2016, se realizó mantenimiento a 1026 1709,1 m2 de jardinería, para 2017, 5099 m2 de jardinería, para el año 2018, 3634m2, para el año de 2019, 8591m</w:t>
      </w:r>
      <w:proofErr w:type="gramStart"/>
      <w:r w:rsidRPr="00605294">
        <w:rPr>
          <w:rFonts w:eastAsia="Arial" w:cs="Arial"/>
        </w:rPr>
        <w:t>2 ,</w:t>
      </w:r>
      <w:proofErr w:type="gramEnd"/>
      <w:r w:rsidRPr="00605294">
        <w:rPr>
          <w:rFonts w:eastAsia="Arial" w:cs="Arial"/>
        </w:rPr>
        <w:t xml:space="preserve"> para</w:t>
      </w:r>
      <w:r w:rsidR="004E5C2D">
        <w:rPr>
          <w:rFonts w:eastAsia="Arial" w:cs="Arial"/>
        </w:rPr>
        <w:t xml:space="preserve"> </w:t>
      </w:r>
      <w:r w:rsidRPr="00605294">
        <w:rPr>
          <w:rFonts w:eastAsia="Arial" w:cs="Arial"/>
        </w:rPr>
        <w:t xml:space="preserve">2020 – Marzo, 3519,9 m 2 , para un total de 23.578,8 m 2 de mantenimiento a jardines entre 2016 a 2019.  </w:t>
      </w:r>
    </w:p>
    <w:p w14:paraId="451EEFC4" w14:textId="5A38570F" w:rsidR="007148E9" w:rsidRPr="007148E9" w:rsidRDefault="003F1073" w:rsidP="007148E9">
      <w:pPr>
        <w:pStyle w:val="Prrafodelista"/>
        <w:numPr>
          <w:ilvl w:val="0"/>
          <w:numId w:val="24"/>
        </w:numPr>
        <w:pBdr>
          <w:top w:val="nil"/>
          <w:left w:val="nil"/>
          <w:bottom w:val="nil"/>
          <w:right w:val="nil"/>
          <w:between w:val="nil"/>
        </w:pBdr>
        <w:spacing w:after="0"/>
        <w:ind w:left="927"/>
        <w:jc w:val="both"/>
        <w:rPr>
          <w:rFonts w:eastAsia="Arial" w:cs="Arial"/>
        </w:rPr>
      </w:pPr>
      <w:r w:rsidRPr="00605294">
        <w:rPr>
          <w:rFonts w:eastAsia="Arial" w:cs="Arial"/>
        </w:rPr>
        <w:t xml:space="preserve">Agricultura urbana: en el periodo comprendido entre 2016 a 2019, se acompañó el montaje de 373 proyectos.  </w:t>
      </w:r>
    </w:p>
    <w:p w14:paraId="66F82806" w14:textId="74218602" w:rsidR="003F1073" w:rsidRPr="00605294" w:rsidRDefault="003F1073" w:rsidP="007148E9">
      <w:pPr>
        <w:pStyle w:val="Prrafodelista"/>
        <w:numPr>
          <w:ilvl w:val="0"/>
          <w:numId w:val="24"/>
        </w:numPr>
        <w:pBdr>
          <w:top w:val="nil"/>
          <w:left w:val="nil"/>
          <w:bottom w:val="nil"/>
          <w:right w:val="nil"/>
          <w:between w:val="nil"/>
        </w:pBdr>
        <w:spacing w:after="0"/>
        <w:ind w:left="927"/>
        <w:jc w:val="both"/>
        <w:rPr>
          <w:rFonts w:eastAsia="Arial" w:cs="Arial"/>
        </w:rPr>
      </w:pPr>
      <w:r w:rsidRPr="00605294">
        <w:rPr>
          <w:rFonts w:eastAsia="Arial" w:cs="Arial"/>
        </w:rPr>
        <w:t xml:space="preserve">Siembra de buganvilias: entre los años 2017 a 2019, se adelantaron 87 proyectos de buganvilias. </w:t>
      </w:r>
    </w:p>
    <w:p w14:paraId="631C14C2" w14:textId="1DA0AAE7" w:rsidR="003F1073" w:rsidRPr="00605294" w:rsidRDefault="003F1073" w:rsidP="007148E9">
      <w:pPr>
        <w:pStyle w:val="Prrafodelista"/>
        <w:numPr>
          <w:ilvl w:val="0"/>
          <w:numId w:val="24"/>
        </w:numPr>
        <w:pBdr>
          <w:top w:val="nil"/>
          <w:left w:val="nil"/>
          <w:bottom w:val="nil"/>
          <w:right w:val="nil"/>
          <w:between w:val="nil"/>
        </w:pBdr>
        <w:spacing w:after="0"/>
        <w:ind w:left="927"/>
        <w:jc w:val="both"/>
        <w:rPr>
          <w:rFonts w:eastAsia="Arial" w:cs="Arial"/>
        </w:rPr>
      </w:pPr>
      <w:r w:rsidRPr="00605294">
        <w:rPr>
          <w:rFonts w:eastAsia="Arial" w:cs="Arial"/>
        </w:rPr>
        <w:t xml:space="preserve">Mantenimiento de buganvilias: se realizó manteamiento a 76 proyectos de Buganvilias </w:t>
      </w:r>
    </w:p>
    <w:p w14:paraId="3ED929DC" w14:textId="16F0B7F9" w:rsidR="0087017A" w:rsidRPr="00D11B68" w:rsidRDefault="004B2EEA" w:rsidP="004B2EEA">
      <w:pPr>
        <w:pStyle w:val="Ttulo3"/>
        <w:ind w:firstLine="0"/>
        <w:rPr>
          <w:rFonts w:eastAsia="Arial" w:cs="Arial"/>
          <w:bCs/>
        </w:rPr>
      </w:pPr>
      <w:bookmarkStart w:id="29" w:name="_Toc57238618"/>
      <w:r>
        <w:rPr>
          <w:rFonts w:eastAsia="Arial" w:cs="Arial"/>
          <w:bCs/>
        </w:rPr>
        <w:t xml:space="preserve">2.1.8 </w:t>
      </w:r>
      <w:r w:rsidR="006371D8" w:rsidRPr="00D11B68">
        <w:rPr>
          <w:rFonts w:eastAsia="Arial" w:cs="Arial"/>
          <w:bCs/>
        </w:rPr>
        <w:t>Manejo de residuos sólidos</w:t>
      </w:r>
      <w:bookmarkEnd w:id="29"/>
    </w:p>
    <w:p w14:paraId="042A0544" w14:textId="1BAF73CA" w:rsidR="00EF1074" w:rsidRDefault="00EF1074" w:rsidP="00EF1074">
      <w:pPr>
        <w:pBdr>
          <w:top w:val="nil"/>
          <w:left w:val="nil"/>
          <w:bottom w:val="nil"/>
          <w:right w:val="nil"/>
          <w:between w:val="nil"/>
        </w:pBdr>
        <w:spacing w:after="0"/>
        <w:jc w:val="both"/>
        <w:rPr>
          <w:rFonts w:eastAsia="Arial" w:cs="Arial"/>
        </w:rPr>
      </w:pPr>
      <w:r w:rsidRPr="00EF1074">
        <w:rPr>
          <w:rFonts w:eastAsia="Arial" w:cs="Arial"/>
        </w:rPr>
        <w:t xml:space="preserve">La Unidad Administrativa Especial de Servicios Públicos; UAESP por medio de la licitación pública No. 02 DE 2017 contrato 284 de 2018 con el prestador LIME estableció contrato de concesión de áreas de servicio exclusivo para la prestación del servicio público de aseo en la ciudad de Bogotá D, C; Así mismo dentro del contrato se </w:t>
      </w:r>
      <w:proofErr w:type="gramStart"/>
      <w:r w:rsidRPr="00EF1074">
        <w:rPr>
          <w:rFonts w:eastAsia="Arial" w:cs="Arial"/>
        </w:rPr>
        <w:t>establecieron  anexos</w:t>
      </w:r>
      <w:proofErr w:type="gramEnd"/>
      <w:r w:rsidRPr="00EF1074">
        <w:rPr>
          <w:rFonts w:eastAsia="Arial" w:cs="Arial"/>
        </w:rPr>
        <w:t xml:space="preserve"> técnicos  para la ejecución de las obligaciones establecidas los cuales son: </w:t>
      </w:r>
    </w:p>
    <w:p w14:paraId="5EA36F1B" w14:textId="46814E96" w:rsidR="00EF1074" w:rsidRPr="00EF1074" w:rsidRDefault="00EF1074" w:rsidP="00EF1074">
      <w:pPr>
        <w:pBdr>
          <w:top w:val="nil"/>
          <w:left w:val="nil"/>
          <w:bottom w:val="nil"/>
          <w:right w:val="nil"/>
          <w:between w:val="nil"/>
        </w:pBdr>
        <w:spacing w:after="0"/>
        <w:jc w:val="both"/>
        <w:rPr>
          <w:rFonts w:eastAsia="Arial" w:cs="Arial"/>
        </w:rPr>
      </w:pPr>
      <w:r w:rsidRPr="00EF1074">
        <w:rPr>
          <w:rFonts w:eastAsia="Arial" w:cs="Arial"/>
        </w:rPr>
        <w:t>1.</w:t>
      </w:r>
      <w:r w:rsidRPr="00EF1074">
        <w:rPr>
          <w:rFonts w:eastAsia="Arial" w:cs="Arial"/>
        </w:rPr>
        <w:tab/>
        <w:t xml:space="preserve">Anexo 2: Articulación con la actividad de aprovechamiento </w:t>
      </w:r>
      <w:proofErr w:type="gramStart"/>
      <w:r w:rsidRPr="00EF1074">
        <w:rPr>
          <w:rFonts w:eastAsia="Arial" w:cs="Arial"/>
        </w:rPr>
        <w:t>de acuerdo a</w:t>
      </w:r>
      <w:proofErr w:type="gramEnd"/>
      <w:r w:rsidRPr="00EF1074">
        <w:rPr>
          <w:rFonts w:eastAsia="Arial" w:cs="Arial"/>
        </w:rPr>
        <w:t xml:space="preserve"> la ley 142 de 1994</w:t>
      </w:r>
      <w:r w:rsidR="00A75544">
        <w:rPr>
          <w:rFonts w:eastAsia="Arial" w:cs="Arial"/>
        </w:rPr>
        <w:t>.</w:t>
      </w:r>
    </w:p>
    <w:p w14:paraId="3B32C27A" w14:textId="77777777" w:rsidR="00EF1074" w:rsidRPr="00EF1074" w:rsidRDefault="00EF1074" w:rsidP="00EF1074">
      <w:pPr>
        <w:pBdr>
          <w:top w:val="nil"/>
          <w:left w:val="nil"/>
          <w:bottom w:val="nil"/>
          <w:right w:val="nil"/>
          <w:between w:val="nil"/>
        </w:pBdr>
        <w:spacing w:after="0"/>
        <w:jc w:val="both"/>
        <w:rPr>
          <w:rFonts w:eastAsia="Arial" w:cs="Arial"/>
        </w:rPr>
      </w:pPr>
      <w:r w:rsidRPr="00EF1074">
        <w:rPr>
          <w:rFonts w:eastAsia="Arial" w:cs="Arial"/>
        </w:rPr>
        <w:t>2.</w:t>
      </w:r>
      <w:r w:rsidRPr="00EF1074">
        <w:rPr>
          <w:rFonts w:eastAsia="Arial" w:cs="Arial"/>
        </w:rPr>
        <w:tab/>
        <w:t xml:space="preserve">Anexo 3: Reglamento técnico operativo para la prestación del servicio de aseo en Bogotá contiene las disposiciones vinculantes para la prestación del servicio público de aseo, el cual permitirá a los diferentes adjudicatarios conocer los procedimientos, mecanismos y demás particularidades que deben adoptar en cumplimiento de las obligaciones contractuales adquiridas en el marco de la prestación eficiente del servicio. Así mismo, se definen las condiciones </w:t>
      </w:r>
      <w:proofErr w:type="gramStart"/>
      <w:r w:rsidRPr="00EF1074">
        <w:rPr>
          <w:rFonts w:eastAsia="Arial" w:cs="Arial"/>
        </w:rPr>
        <w:t>técnico operativas</w:t>
      </w:r>
      <w:proofErr w:type="gramEnd"/>
      <w:r w:rsidRPr="00EF1074">
        <w:rPr>
          <w:rFonts w:eastAsia="Arial" w:cs="Arial"/>
        </w:rPr>
        <w:t xml:space="preserve"> para la prestación del servicio público de aseo en todos sus componentes, a saber: recolección, transporte, barrido, limpieza de vías y áreas públicas, corte de césped y poda de árboles, instalación y mantenimiento de cestas, y lavado de áreas públicas </w:t>
      </w:r>
      <w:r w:rsidRPr="00EF1074">
        <w:rPr>
          <w:rFonts w:eastAsia="Arial" w:cs="Arial"/>
        </w:rPr>
        <w:tab/>
        <w:t>(ver anexo)</w:t>
      </w:r>
    </w:p>
    <w:p w14:paraId="328823A0" w14:textId="27FF9197" w:rsidR="00EF1074" w:rsidRPr="00EF1074" w:rsidRDefault="00EF1074" w:rsidP="00A75544">
      <w:pPr>
        <w:pBdr>
          <w:top w:val="nil"/>
          <w:left w:val="nil"/>
          <w:bottom w:val="nil"/>
          <w:right w:val="nil"/>
          <w:between w:val="nil"/>
        </w:pBdr>
        <w:spacing w:after="0"/>
        <w:jc w:val="both"/>
        <w:rPr>
          <w:rFonts w:eastAsia="Arial" w:cs="Arial"/>
        </w:rPr>
      </w:pPr>
      <w:r w:rsidRPr="00EF1074">
        <w:rPr>
          <w:rFonts w:eastAsia="Arial" w:cs="Arial"/>
        </w:rPr>
        <w:t>3.</w:t>
      </w:r>
      <w:r w:rsidRPr="00EF1074">
        <w:rPr>
          <w:rFonts w:eastAsia="Arial" w:cs="Arial"/>
        </w:rPr>
        <w:tab/>
        <w:t>Anexo 4: Reglamento técnico operativo para la ruralidad para la prestación del servicio de aseo en Bogotá</w:t>
      </w:r>
      <w:r w:rsidR="00A75544">
        <w:rPr>
          <w:rFonts w:eastAsia="Arial" w:cs="Arial"/>
        </w:rPr>
        <w:t>.</w:t>
      </w:r>
    </w:p>
    <w:p w14:paraId="2BCB7742" w14:textId="4B2F9662" w:rsidR="00EF1074" w:rsidRPr="00EF1074" w:rsidRDefault="00EF1074" w:rsidP="00EF1074">
      <w:pPr>
        <w:pBdr>
          <w:top w:val="nil"/>
          <w:left w:val="nil"/>
          <w:bottom w:val="nil"/>
          <w:right w:val="nil"/>
          <w:between w:val="nil"/>
        </w:pBdr>
        <w:spacing w:after="0"/>
        <w:jc w:val="both"/>
        <w:rPr>
          <w:rFonts w:eastAsia="Arial" w:cs="Arial"/>
        </w:rPr>
      </w:pPr>
      <w:r w:rsidRPr="00EF1074">
        <w:rPr>
          <w:rFonts w:eastAsia="Arial" w:cs="Arial"/>
        </w:rPr>
        <w:t>4.</w:t>
      </w:r>
      <w:r w:rsidRPr="00EF1074">
        <w:rPr>
          <w:rFonts w:eastAsia="Arial" w:cs="Arial"/>
        </w:rPr>
        <w:tab/>
        <w:t>Anexo 7: Plan Operativo para el inicio del esquema</w:t>
      </w:r>
      <w:r w:rsidR="00A75544">
        <w:rPr>
          <w:rFonts w:eastAsia="Arial" w:cs="Arial"/>
        </w:rPr>
        <w:t>.</w:t>
      </w:r>
    </w:p>
    <w:p w14:paraId="2CAC4348" w14:textId="6D8EB5F2" w:rsidR="00EF1074" w:rsidRPr="00EF1074" w:rsidRDefault="00EF1074" w:rsidP="007A5CCF">
      <w:pPr>
        <w:pBdr>
          <w:top w:val="nil"/>
          <w:left w:val="nil"/>
          <w:bottom w:val="nil"/>
          <w:right w:val="nil"/>
          <w:between w:val="nil"/>
        </w:pBdr>
        <w:spacing w:after="0"/>
        <w:jc w:val="both"/>
        <w:rPr>
          <w:rFonts w:eastAsia="Arial" w:cs="Arial"/>
        </w:rPr>
      </w:pPr>
      <w:r w:rsidRPr="00EF1074">
        <w:rPr>
          <w:rFonts w:eastAsia="Arial" w:cs="Arial"/>
        </w:rPr>
        <w:t>5.</w:t>
      </w:r>
      <w:r w:rsidRPr="00EF1074">
        <w:rPr>
          <w:rFonts w:eastAsia="Arial" w:cs="Arial"/>
        </w:rPr>
        <w:tab/>
        <w:t>Anexo 14 Obligaciones de hacer</w:t>
      </w:r>
      <w:r w:rsidR="00A75544">
        <w:rPr>
          <w:rFonts w:eastAsia="Arial" w:cs="Arial"/>
        </w:rPr>
        <w:t>.</w:t>
      </w:r>
    </w:p>
    <w:p w14:paraId="679DE1D1" w14:textId="77777777" w:rsidR="00EF1074" w:rsidRPr="00EF1074" w:rsidRDefault="00EF1074" w:rsidP="00EF1074">
      <w:pPr>
        <w:pBdr>
          <w:top w:val="nil"/>
          <w:left w:val="nil"/>
          <w:bottom w:val="nil"/>
          <w:right w:val="nil"/>
          <w:between w:val="nil"/>
        </w:pBdr>
        <w:spacing w:after="0"/>
        <w:jc w:val="both"/>
        <w:rPr>
          <w:rFonts w:eastAsia="Arial" w:cs="Arial"/>
        </w:rPr>
      </w:pPr>
      <w:r w:rsidRPr="00EF1074">
        <w:rPr>
          <w:rFonts w:eastAsia="Arial" w:cs="Arial"/>
        </w:rPr>
        <w:t>6.</w:t>
      </w:r>
      <w:r w:rsidRPr="00EF1074">
        <w:rPr>
          <w:rFonts w:eastAsia="Arial" w:cs="Arial"/>
        </w:rPr>
        <w:tab/>
        <w:t>Anexo 11: Criterio de calidad para la prestación de la actividad de recolección de residuos sólidos a través de contenedores en la ciudad de Bogotá. (ver anexo)</w:t>
      </w:r>
    </w:p>
    <w:p w14:paraId="2EED05C3" w14:textId="77777777" w:rsidR="00EF1074" w:rsidRPr="00EF1074" w:rsidRDefault="00EF1074" w:rsidP="00EF1074">
      <w:pPr>
        <w:pBdr>
          <w:top w:val="nil"/>
          <w:left w:val="nil"/>
          <w:bottom w:val="nil"/>
          <w:right w:val="nil"/>
          <w:between w:val="nil"/>
        </w:pBdr>
        <w:spacing w:after="0"/>
        <w:jc w:val="both"/>
        <w:rPr>
          <w:rFonts w:eastAsia="Arial" w:cs="Arial"/>
        </w:rPr>
      </w:pPr>
    </w:p>
    <w:p w14:paraId="5602E6D3" w14:textId="77777777" w:rsidR="00EF1074" w:rsidRPr="00EF1074" w:rsidRDefault="00EF1074" w:rsidP="00EF1074">
      <w:pPr>
        <w:pBdr>
          <w:top w:val="nil"/>
          <w:left w:val="nil"/>
          <w:bottom w:val="nil"/>
          <w:right w:val="nil"/>
          <w:between w:val="nil"/>
        </w:pBdr>
        <w:spacing w:after="0"/>
        <w:jc w:val="both"/>
        <w:rPr>
          <w:rFonts w:eastAsia="Arial" w:cs="Arial"/>
        </w:rPr>
      </w:pPr>
      <w:r w:rsidRPr="00EF1074">
        <w:rPr>
          <w:rFonts w:eastAsia="Arial" w:cs="Arial"/>
        </w:rPr>
        <w:lastRenderedPageBreak/>
        <w:t xml:space="preserve">La Subdirección de Recolección Barrido y Limpieza RBL – </w:t>
      </w:r>
      <w:proofErr w:type="gramStart"/>
      <w:r w:rsidRPr="00EF1074">
        <w:rPr>
          <w:rFonts w:eastAsia="Arial" w:cs="Arial"/>
        </w:rPr>
        <w:t>UAESP  según</w:t>
      </w:r>
      <w:proofErr w:type="gramEnd"/>
      <w:r w:rsidRPr="00EF1074">
        <w:rPr>
          <w:rFonts w:eastAsia="Arial" w:cs="Arial"/>
        </w:rPr>
        <w:t xml:space="preserve"> competencias, se encarga de Supervisar y garantizar el Servicio Público de Aseo en la Ciudad de Bogotá a través de los concesionarios que operan en las cinco Áreas de Servicio exclusivo ( ase). En el caso de la Localidad de Los Mártires se encuentra </w:t>
      </w:r>
      <w:proofErr w:type="gramStart"/>
      <w:r w:rsidRPr="00EF1074">
        <w:rPr>
          <w:rFonts w:eastAsia="Arial" w:cs="Arial"/>
        </w:rPr>
        <w:t>contratado  el</w:t>
      </w:r>
      <w:proofErr w:type="gramEnd"/>
      <w:r w:rsidRPr="00EF1074">
        <w:rPr>
          <w:rFonts w:eastAsia="Arial" w:cs="Arial"/>
        </w:rPr>
        <w:t xml:space="preserve"> prestador Limpieza Metropolitana LIME. Así mismo la subdirección está </w:t>
      </w:r>
      <w:proofErr w:type="gramStart"/>
      <w:r w:rsidRPr="00EF1074">
        <w:rPr>
          <w:rFonts w:eastAsia="Arial" w:cs="Arial"/>
        </w:rPr>
        <w:t>conformada  por</w:t>
      </w:r>
      <w:proofErr w:type="gramEnd"/>
      <w:r w:rsidRPr="00EF1074">
        <w:rPr>
          <w:rFonts w:eastAsia="Arial" w:cs="Arial"/>
        </w:rPr>
        <w:t xml:space="preserve"> varios componentes operativos que se interrelacionan tales como recolección de residuos Hospitalarios a través de la empresa Eco capital y la recolección de llantas usadas con apoyo de Fundager a través del prestador Ciudad Limpia. </w:t>
      </w:r>
      <w:proofErr w:type="gramStart"/>
      <w:r w:rsidRPr="00EF1074">
        <w:rPr>
          <w:rFonts w:eastAsia="Arial" w:cs="Arial"/>
        </w:rPr>
        <w:t>De  otra</w:t>
      </w:r>
      <w:proofErr w:type="gramEnd"/>
      <w:r w:rsidRPr="00EF1074">
        <w:rPr>
          <w:rFonts w:eastAsia="Arial" w:cs="Arial"/>
        </w:rPr>
        <w:t xml:space="preserve"> parte, se encuentra el componente de  gestión social  RBL - UAESP quien  realiza la interacción o relacionamiento permanente, con los diferentes grupos o actores poblacionales, en pro a la prevención y mitigación de los impactos sociales producto en el quehacer como garante de los servicios prestados. Por tanto, el desarrollo de las actividades en el marco de la gestión social, fortalecen las relaciones interinstitucionales, comunitarias y sociales lo cual promueve la participación, inclusión y divulgación en el desarrollo de los proyectos.</w:t>
      </w:r>
    </w:p>
    <w:p w14:paraId="485E1673" w14:textId="77777777" w:rsidR="00EF1074" w:rsidRPr="00EF1074" w:rsidRDefault="00EF1074" w:rsidP="00EF1074">
      <w:pPr>
        <w:pBdr>
          <w:top w:val="nil"/>
          <w:left w:val="nil"/>
          <w:bottom w:val="nil"/>
          <w:right w:val="nil"/>
          <w:between w:val="nil"/>
        </w:pBdr>
        <w:spacing w:after="0"/>
        <w:jc w:val="both"/>
        <w:rPr>
          <w:rFonts w:eastAsia="Arial" w:cs="Arial"/>
        </w:rPr>
      </w:pPr>
    </w:p>
    <w:p w14:paraId="5C9025E6" w14:textId="77777777" w:rsidR="00EF1074" w:rsidRPr="00EF1074" w:rsidRDefault="00EF1074" w:rsidP="00EF1074">
      <w:pPr>
        <w:pBdr>
          <w:top w:val="nil"/>
          <w:left w:val="nil"/>
          <w:bottom w:val="nil"/>
          <w:right w:val="nil"/>
          <w:between w:val="nil"/>
        </w:pBdr>
        <w:spacing w:after="0"/>
        <w:jc w:val="both"/>
        <w:rPr>
          <w:rFonts w:eastAsia="Arial" w:cs="Arial"/>
        </w:rPr>
      </w:pPr>
      <w:r w:rsidRPr="00EF1074">
        <w:rPr>
          <w:rFonts w:eastAsia="Arial" w:cs="Arial"/>
        </w:rPr>
        <w:t xml:space="preserve">Para efectos del desarrollo de la gestión se tuvieron presente los objetivos </w:t>
      </w:r>
      <w:proofErr w:type="gramStart"/>
      <w:r w:rsidRPr="00EF1074">
        <w:rPr>
          <w:rFonts w:eastAsia="Arial" w:cs="Arial"/>
        </w:rPr>
        <w:t>institucionales  especialmente</w:t>
      </w:r>
      <w:proofErr w:type="gramEnd"/>
      <w:r w:rsidRPr="00EF1074">
        <w:rPr>
          <w:rFonts w:eastAsia="Arial" w:cs="Arial"/>
        </w:rPr>
        <w:t xml:space="preserve"> el orientado al empoderamiento Ciudadano que busca “Fomentar una cultura ciudadana comprometida con la sostenibilidad de la prestación de los servicios, orientada al embellecimiento y sentido de pertenencia con Bogotá”.</w:t>
      </w:r>
    </w:p>
    <w:p w14:paraId="210AC684" w14:textId="77777777" w:rsidR="00EF1074" w:rsidRPr="00EF1074" w:rsidRDefault="00EF1074" w:rsidP="00EF1074">
      <w:pPr>
        <w:pBdr>
          <w:top w:val="nil"/>
          <w:left w:val="nil"/>
          <w:bottom w:val="nil"/>
          <w:right w:val="nil"/>
          <w:between w:val="nil"/>
        </w:pBdr>
        <w:spacing w:after="0"/>
        <w:jc w:val="both"/>
        <w:rPr>
          <w:rFonts w:eastAsia="Arial" w:cs="Arial"/>
        </w:rPr>
      </w:pPr>
    </w:p>
    <w:p w14:paraId="356E8740" w14:textId="77777777" w:rsidR="00EF1074" w:rsidRPr="00EF1074" w:rsidRDefault="00EF1074" w:rsidP="00EF1074">
      <w:pPr>
        <w:pBdr>
          <w:top w:val="nil"/>
          <w:left w:val="nil"/>
          <w:bottom w:val="nil"/>
          <w:right w:val="nil"/>
          <w:between w:val="nil"/>
        </w:pBdr>
        <w:spacing w:after="0"/>
        <w:jc w:val="both"/>
        <w:rPr>
          <w:rFonts w:eastAsia="Arial" w:cs="Arial"/>
        </w:rPr>
      </w:pPr>
      <w:r w:rsidRPr="00EF1074">
        <w:rPr>
          <w:rFonts w:eastAsia="Arial" w:cs="Arial"/>
        </w:rPr>
        <w:t>La gestión social de la subdirección RBL,  busca fortalecer los buenos hábitos de la ciudadanía en el manejo y disposición de residuos sólidos, generando mejor conciencia en la presentación de los residuos sólidos domiciliarios en los horarios establecidos por parte del prestador en cada una de las Áreas de Servicio Exclusivo - ASE; además, sensibilizar e informar a los ciudadanos sobre los comportamientos contrarios a la limpieza,  recolección de residuos, escombros  y malas prácticas habitacionales de conformidad con el artículo 111 del Código Nacional de Policía y Convivencia; garantizando el cuidado mantenimiento del área limpia.</w:t>
      </w:r>
    </w:p>
    <w:p w14:paraId="6C477F29" w14:textId="77777777" w:rsidR="00EF1074" w:rsidRPr="00EF1074" w:rsidRDefault="00EF1074" w:rsidP="00EF1074">
      <w:pPr>
        <w:pBdr>
          <w:top w:val="nil"/>
          <w:left w:val="nil"/>
          <w:bottom w:val="nil"/>
          <w:right w:val="nil"/>
          <w:between w:val="nil"/>
        </w:pBdr>
        <w:spacing w:after="0"/>
        <w:jc w:val="both"/>
        <w:rPr>
          <w:rFonts w:eastAsia="Arial" w:cs="Arial"/>
        </w:rPr>
      </w:pPr>
    </w:p>
    <w:p w14:paraId="0DE62ABA" w14:textId="77777777" w:rsidR="00EF1074" w:rsidRPr="00EF1074" w:rsidRDefault="00EF1074" w:rsidP="00EF1074">
      <w:pPr>
        <w:pBdr>
          <w:top w:val="nil"/>
          <w:left w:val="nil"/>
          <w:bottom w:val="nil"/>
          <w:right w:val="nil"/>
          <w:between w:val="nil"/>
        </w:pBdr>
        <w:spacing w:after="0"/>
        <w:jc w:val="both"/>
        <w:rPr>
          <w:rFonts w:eastAsia="Arial" w:cs="Arial"/>
        </w:rPr>
      </w:pPr>
      <w:r w:rsidRPr="00EF1074">
        <w:rPr>
          <w:rFonts w:eastAsia="Arial" w:cs="Arial"/>
        </w:rPr>
        <w:t xml:space="preserve">De otra parte,  la Unidad Administrativa Especial de Servicios Públicos –UAESP estableció el Proyecto de Aprovechamiento y Reciclaje Sostenible –PRAS RECICLAR TRANSFORMA  según "El Acuerdo 645 de 2016, por el cual se adopta El Plan de Desarrollo Económico, Social, Ambiental y de Obras Públicas para Bogotá D.C. 2016 - 2020 "Bogotá Mejor Para Todos", estableció en su artículo 86 “…La Unidad Administrativa Especial de Servicios Públicos –UAESP diseñará e implementará un proyecto Distrital para el manejo integral de los residuos sólidos, el cual deberá sustentarse en la producción y consumo responsable, garantizar la disminución en </w:t>
      </w:r>
      <w:r w:rsidRPr="00EF1074">
        <w:rPr>
          <w:rFonts w:eastAsia="Arial" w:cs="Arial"/>
        </w:rPr>
        <w:lastRenderedPageBreak/>
        <w:t>la generación, fomentar la separación en la fuente mediante cambio cultural, especialmente a través de campañas de capacitación y el fortalecimiento de la aplicación del comparendo ambiental previsto en el numeral 18 del Acuerdo 417 de 2009, implementar programas de tecnologías alternativas para el aprovechamiento de residuos sólidos, propender por la correcta disposición final de los residuos y el tratamiento de los lixiviados, así como por la inclusión de los recicladores en el esquema de prestación. Este proyecto deberá ser parte del Plan de Gestión Integral de Residuos Sólidos –PGIRS…”, temas que van en total concordancia con el concepto de economía circular.</w:t>
      </w:r>
    </w:p>
    <w:p w14:paraId="5201EB86" w14:textId="77777777" w:rsidR="00EF1074" w:rsidRPr="00EF1074" w:rsidRDefault="00EF1074" w:rsidP="00EF1074">
      <w:pPr>
        <w:pBdr>
          <w:top w:val="nil"/>
          <w:left w:val="nil"/>
          <w:bottom w:val="nil"/>
          <w:right w:val="nil"/>
          <w:between w:val="nil"/>
        </w:pBdr>
        <w:spacing w:after="0"/>
        <w:jc w:val="both"/>
        <w:rPr>
          <w:rFonts w:eastAsia="Arial" w:cs="Arial"/>
        </w:rPr>
      </w:pPr>
    </w:p>
    <w:p w14:paraId="2EB5583C" w14:textId="77777777" w:rsidR="00EF1074" w:rsidRPr="00EF1074" w:rsidRDefault="00EF1074" w:rsidP="00EF1074">
      <w:pPr>
        <w:pBdr>
          <w:top w:val="nil"/>
          <w:left w:val="nil"/>
          <w:bottom w:val="nil"/>
          <w:right w:val="nil"/>
          <w:between w:val="nil"/>
        </w:pBdr>
        <w:spacing w:after="0"/>
        <w:jc w:val="both"/>
        <w:rPr>
          <w:rFonts w:eastAsia="Arial" w:cs="Arial"/>
        </w:rPr>
      </w:pPr>
      <w:r w:rsidRPr="00EF1074">
        <w:rPr>
          <w:rFonts w:eastAsia="Arial" w:cs="Arial"/>
        </w:rPr>
        <w:t xml:space="preserve">De acuerdo con las proyecciones de población realizadas por el Departamento de Economía y Asuntos Sociales de la ONU (Organización de las Naciones Unidas) en su informe “The World’s Cities in 2016”, para el año 2030 se estima que Bogotá tendrá 11’966.000 personas, siendo la ciudad más poblada de Colombia y parte de la lista de ciudades más pobladas en América Latina. Lo anterior exige repensar los modelos de gestión de residuos a todo nivel. </w:t>
      </w:r>
    </w:p>
    <w:p w14:paraId="7E06C67E" w14:textId="77777777" w:rsidR="00EF1074" w:rsidRPr="00EF1074" w:rsidRDefault="00EF1074" w:rsidP="00EF1074">
      <w:pPr>
        <w:pBdr>
          <w:top w:val="nil"/>
          <w:left w:val="nil"/>
          <w:bottom w:val="nil"/>
          <w:right w:val="nil"/>
          <w:between w:val="nil"/>
        </w:pBdr>
        <w:spacing w:after="0"/>
        <w:jc w:val="both"/>
        <w:rPr>
          <w:rFonts w:eastAsia="Arial" w:cs="Arial"/>
        </w:rPr>
      </w:pPr>
      <w:r w:rsidRPr="00EF1074">
        <w:rPr>
          <w:rFonts w:eastAsia="Arial" w:cs="Arial"/>
        </w:rPr>
        <w:t xml:space="preserve">“Se calcula que para el año 2017, el sector residencial y comercial de la ciudad de Bogotá genera aproximadamente 7.000 toneladas de residuos al día, los cuales son llevados para su disposición final al relleno sanitario Doña Juana.” Fuente: (Estudio técnico de la caracterización en la fuente de residuos sólidos generados en la Ciudad de Bogotá Distrito </w:t>
      </w:r>
      <w:proofErr w:type="gramStart"/>
      <w:r w:rsidRPr="00EF1074">
        <w:rPr>
          <w:rFonts w:eastAsia="Arial" w:cs="Arial"/>
        </w:rPr>
        <w:t>Capital)  Contrato</w:t>
      </w:r>
      <w:proofErr w:type="gramEnd"/>
      <w:r w:rsidRPr="00EF1074">
        <w:rPr>
          <w:rFonts w:eastAsia="Arial" w:cs="Arial"/>
        </w:rPr>
        <w:t xml:space="preserve"> No. 443 DE 2017   CONSORCIO NCU- UAESP  Marzo de 2018</w:t>
      </w:r>
    </w:p>
    <w:p w14:paraId="64F9C1AA" w14:textId="77777777" w:rsidR="00EF1074" w:rsidRPr="00EF1074" w:rsidRDefault="00EF1074" w:rsidP="00EF1074">
      <w:pPr>
        <w:pBdr>
          <w:top w:val="nil"/>
          <w:left w:val="nil"/>
          <w:bottom w:val="nil"/>
          <w:right w:val="nil"/>
          <w:between w:val="nil"/>
        </w:pBdr>
        <w:spacing w:after="0"/>
        <w:jc w:val="both"/>
        <w:rPr>
          <w:rFonts w:eastAsia="Arial" w:cs="Arial"/>
        </w:rPr>
      </w:pPr>
    </w:p>
    <w:p w14:paraId="4783CB5B" w14:textId="3D9168F6" w:rsidR="00D57953" w:rsidRDefault="00EF1074" w:rsidP="00EF1074">
      <w:pPr>
        <w:pBdr>
          <w:top w:val="nil"/>
          <w:left w:val="nil"/>
          <w:bottom w:val="nil"/>
          <w:right w:val="nil"/>
          <w:between w:val="nil"/>
        </w:pBdr>
        <w:spacing w:after="0"/>
        <w:jc w:val="both"/>
        <w:rPr>
          <w:rFonts w:eastAsia="Arial" w:cs="Arial"/>
        </w:rPr>
      </w:pPr>
      <w:r w:rsidRPr="00EF1074">
        <w:rPr>
          <w:rFonts w:eastAsia="Arial" w:cs="Arial"/>
        </w:rPr>
        <w:t>Por tal razón la Alcaldía Mayor de Bogotá, creó el Proyecto de Aprovechamiento y Reciclaje Sostenible – PRAS, el cual es incluido en el artículo 87 del Acuerdo 645 de 2016 “Por el cual se adopta el Plan de Desarrollo Económico, Social, Ambiental y de obras públicas para Bogotá D.C. 2016 - 2020 “Bogotá mejor para todos”, y es así como la Unidad Administrativa</w:t>
      </w:r>
      <w:r w:rsidR="00A75544">
        <w:rPr>
          <w:rFonts w:eastAsia="Arial" w:cs="Arial"/>
        </w:rPr>
        <w:t>.</w:t>
      </w:r>
    </w:p>
    <w:p w14:paraId="0E7469B5" w14:textId="2307EB0B" w:rsidR="00A75544" w:rsidRDefault="00A75544" w:rsidP="00EF1074">
      <w:pPr>
        <w:pBdr>
          <w:top w:val="nil"/>
          <w:left w:val="nil"/>
          <w:bottom w:val="nil"/>
          <w:right w:val="nil"/>
          <w:between w:val="nil"/>
        </w:pBdr>
        <w:spacing w:after="0"/>
        <w:jc w:val="both"/>
        <w:rPr>
          <w:rFonts w:eastAsia="Arial" w:cs="Arial"/>
        </w:rPr>
      </w:pPr>
    </w:p>
    <w:p w14:paraId="6BF83CCA" w14:textId="77777777" w:rsidR="00A75544" w:rsidRPr="00A75544" w:rsidRDefault="00A75544" w:rsidP="00A75544">
      <w:pPr>
        <w:pBdr>
          <w:top w:val="nil"/>
          <w:left w:val="nil"/>
          <w:bottom w:val="nil"/>
          <w:right w:val="nil"/>
          <w:between w:val="nil"/>
        </w:pBdr>
        <w:spacing w:after="0"/>
        <w:jc w:val="both"/>
        <w:rPr>
          <w:rFonts w:eastAsia="Arial" w:cs="Arial"/>
        </w:rPr>
      </w:pPr>
      <w:r w:rsidRPr="00A75544">
        <w:rPr>
          <w:rFonts w:eastAsia="Arial" w:cs="Arial"/>
        </w:rPr>
        <w:t>Especial de Servicios Públicos –UAESP articula los programas y proyectos definidos en el Plan de Gestión Integral de Residuos Sólidos –PGIRS, el Plan de Desarrollo, la política distrital en servicio público de aseo, la estrategia nacional de economía circular (2018), y el Documento CONPES 3874 de 2016, que contiene la Política Nacional para la Gestión Integral de Residuos Sólidos y los Objetivos de Desarrollo Sostenible (CONPES 3918, DNP/2018) El PRAS que para el ciudadano se llama “Reciclar Transforma”, permite la interacción y la armonización entre todos los actores asociados a la gestión integral de residuos sólidos.</w:t>
      </w:r>
    </w:p>
    <w:p w14:paraId="2D40F6EA" w14:textId="77777777" w:rsidR="00A75544" w:rsidRPr="00A75544" w:rsidRDefault="00A75544" w:rsidP="00A75544">
      <w:pPr>
        <w:pBdr>
          <w:top w:val="nil"/>
          <w:left w:val="nil"/>
          <w:bottom w:val="nil"/>
          <w:right w:val="nil"/>
          <w:between w:val="nil"/>
        </w:pBdr>
        <w:spacing w:after="0"/>
        <w:jc w:val="both"/>
        <w:rPr>
          <w:rFonts w:eastAsia="Arial" w:cs="Arial"/>
        </w:rPr>
      </w:pPr>
    </w:p>
    <w:p w14:paraId="304D2748" w14:textId="77777777" w:rsidR="00A75544" w:rsidRPr="00A75544" w:rsidRDefault="00A75544" w:rsidP="00A75544">
      <w:pPr>
        <w:pBdr>
          <w:top w:val="nil"/>
          <w:left w:val="nil"/>
          <w:bottom w:val="nil"/>
          <w:right w:val="nil"/>
          <w:between w:val="nil"/>
        </w:pBdr>
        <w:spacing w:after="0"/>
        <w:jc w:val="both"/>
        <w:rPr>
          <w:rFonts w:eastAsia="Arial" w:cs="Arial"/>
        </w:rPr>
      </w:pPr>
      <w:r w:rsidRPr="00A75544">
        <w:rPr>
          <w:rFonts w:eastAsia="Arial" w:cs="Arial"/>
        </w:rPr>
        <w:lastRenderedPageBreak/>
        <w:t xml:space="preserve"> Desde la definición del esquema operativo de la actividad de aprovechamiento, pasando por la prestación del servicio, metodología tarifaria, incentivos en la separación en la fuente, campañas educativas, la formalización de los recicladores de oficio, llegando hasta la articulación de las cadenas de valor, la dinamización del aprovechamiento y la promoción de la responsabilidad extendida del productor y vendedor. Todo esto teniendo como ejes transversales la gestión del conocimiento, el diseño, la pedagogía, cultura de innovación, comunicación, regulación y gestión de proyectos. </w:t>
      </w:r>
    </w:p>
    <w:p w14:paraId="1AE8B872" w14:textId="77777777" w:rsidR="00A75544" w:rsidRPr="00A75544" w:rsidRDefault="00A75544" w:rsidP="00A75544">
      <w:pPr>
        <w:pBdr>
          <w:top w:val="nil"/>
          <w:left w:val="nil"/>
          <w:bottom w:val="nil"/>
          <w:right w:val="nil"/>
          <w:between w:val="nil"/>
        </w:pBdr>
        <w:spacing w:after="0"/>
        <w:jc w:val="both"/>
        <w:rPr>
          <w:rFonts w:eastAsia="Arial" w:cs="Arial"/>
        </w:rPr>
      </w:pPr>
    </w:p>
    <w:p w14:paraId="6CF8A53C" w14:textId="77777777" w:rsidR="00A75544" w:rsidRPr="00A75544" w:rsidRDefault="00A75544" w:rsidP="00A75544">
      <w:pPr>
        <w:pBdr>
          <w:top w:val="nil"/>
          <w:left w:val="nil"/>
          <w:bottom w:val="nil"/>
          <w:right w:val="nil"/>
          <w:between w:val="nil"/>
        </w:pBdr>
        <w:spacing w:after="0"/>
        <w:jc w:val="both"/>
        <w:rPr>
          <w:rFonts w:eastAsia="Arial" w:cs="Arial"/>
        </w:rPr>
      </w:pPr>
      <w:r w:rsidRPr="00A75544">
        <w:rPr>
          <w:rFonts w:eastAsia="Arial" w:cs="Arial"/>
        </w:rPr>
        <w:t xml:space="preserve"> Esencialmente el PRAS – Reciclar Transforma, se convierte en la carta de navegación en cuanto al servicio público de aseo en la actividad complementaria de aprovechamiento y hoja de ruta que facilita la implementación de la Estrategia Nacional de Economía Circular en el Distrito Capital, que comienza a regir desde el actual periodo de gobierno en adelante para fortalecer los criterios orientadores estipulados en el Decreto 596 de 2016 y demás normas establecidas para el aprovechamiento de residuos de Bogotá. Por definición, según la fundación Ellen Macarthur, la economía circular es reparadora y regenerativa, y pretende conseguir que los productos, componentes y recursos en general mantengan su utilidad y valor en todo momento.</w:t>
      </w:r>
    </w:p>
    <w:p w14:paraId="19E7D500" w14:textId="77777777" w:rsidR="00A75544" w:rsidRPr="00A75544" w:rsidRDefault="00A75544" w:rsidP="00A75544">
      <w:pPr>
        <w:pBdr>
          <w:top w:val="nil"/>
          <w:left w:val="nil"/>
          <w:bottom w:val="nil"/>
          <w:right w:val="nil"/>
          <w:between w:val="nil"/>
        </w:pBdr>
        <w:spacing w:after="0"/>
        <w:jc w:val="both"/>
        <w:rPr>
          <w:rFonts w:eastAsia="Arial" w:cs="Arial"/>
        </w:rPr>
      </w:pPr>
    </w:p>
    <w:p w14:paraId="6DE3318C" w14:textId="77777777" w:rsidR="00A75544" w:rsidRPr="00A75544" w:rsidRDefault="00A75544" w:rsidP="00A75544">
      <w:pPr>
        <w:pBdr>
          <w:top w:val="nil"/>
          <w:left w:val="nil"/>
          <w:bottom w:val="nil"/>
          <w:right w:val="nil"/>
          <w:between w:val="nil"/>
        </w:pBdr>
        <w:spacing w:after="0"/>
        <w:jc w:val="both"/>
        <w:rPr>
          <w:rFonts w:eastAsia="Arial" w:cs="Arial"/>
        </w:rPr>
      </w:pPr>
      <w:r w:rsidRPr="00A75544">
        <w:rPr>
          <w:rFonts w:eastAsia="Arial" w:cs="Arial"/>
        </w:rPr>
        <w:t xml:space="preserve"> A través de la economía circular se pueden proporcionar múltiples mecanismos de creación de valor. Al igual que en los ciclos biológicos, todos los componentes del ciclo cumplen un rol y los recursos se regeneran y recuperan dentro del ciclo. La economía circular se basa en tres principios clave, cada uno de los cuales aborda varios de los retos en términos de recursos y del sistema a los que han de hacer frente las economías industriales. El primer principio es el de preservar y mejorar el capital natural, esto quiere decir que debemos rotar </w:t>
      </w:r>
    </w:p>
    <w:p w14:paraId="3FF0ABD0" w14:textId="77777777" w:rsidR="00A75544" w:rsidRPr="00A75544" w:rsidRDefault="00A75544" w:rsidP="00A75544">
      <w:pPr>
        <w:pBdr>
          <w:top w:val="nil"/>
          <w:left w:val="nil"/>
          <w:bottom w:val="nil"/>
          <w:right w:val="nil"/>
          <w:between w:val="nil"/>
        </w:pBdr>
        <w:spacing w:after="0"/>
        <w:jc w:val="both"/>
        <w:rPr>
          <w:rFonts w:eastAsia="Arial" w:cs="Arial"/>
        </w:rPr>
      </w:pPr>
    </w:p>
    <w:p w14:paraId="0EFC3065" w14:textId="77777777" w:rsidR="00A75544" w:rsidRPr="00A75544" w:rsidRDefault="00A75544" w:rsidP="00A75544">
      <w:pPr>
        <w:pBdr>
          <w:top w:val="nil"/>
          <w:left w:val="nil"/>
          <w:bottom w:val="nil"/>
          <w:right w:val="nil"/>
          <w:between w:val="nil"/>
        </w:pBdr>
        <w:spacing w:after="0"/>
        <w:jc w:val="both"/>
        <w:rPr>
          <w:rFonts w:eastAsia="Arial" w:cs="Arial"/>
        </w:rPr>
      </w:pPr>
      <w:r w:rsidRPr="00A75544">
        <w:rPr>
          <w:rFonts w:eastAsia="Arial" w:cs="Arial"/>
        </w:rPr>
        <w:t xml:space="preserve">Los productos, componentes y materiales tanto como sea posible y con la máxima utilidad en todo momento. El segundo principio es el de optimizar el uso de los recursos, que los </w:t>
      </w:r>
    </w:p>
    <w:p w14:paraId="7BD94065" w14:textId="77777777" w:rsidR="00A75544" w:rsidRPr="00A75544" w:rsidRDefault="00A75544" w:rsidP="00A75544">
      <w:pPr>
        <w:pBdr>
          <w:top w:val="nil"/>
          <w:left w:val="nil"/>
          <w:bottom w:val="nil"/>
          <w:right w:val="nil"/>
          <w:between w:val="nil"/>
        </w:pBdr>
        <w:spacing w:after="0"/>
        <w:jc w:val="both"/>
        <w:rPr>
          <w:rFonts w:eastAsia="Arial" w:cs="Arial"/>
        </w:rPr>
      </w:pPr>
    </w:p>
    <w:p w14:paraId="58885B40" w14:textId="77777777" w:rsidR="00A75544" w:rsidRPr="00A75544" w:rsidRDefault="00A75544" w:rsidP="00A75544">
      <w:pPr>
        <w:pBdr>
          <w:top w:val="nil"/>
          <w:left w:val="nil"/>
          <w:bottom w:val="nil"/>
          <w:right w:val="nil"/>
          <w:between w:val="nil"/>
        </w:pBdr>
        <w:spacing w:after="0"/>
        <w:jc w:val="both"/>
        <w:rPr>
          <w:rFonts w:eastAsia="Arial" w:cs="Arial"/>
        </w:rPr>
      </w:pPr>
      <w:r w:rsidRPr="00A75544">
        <w:rPr>
          <w:rFonts w:eastAsia="Arial" w:cs="Arial"/>
        </w:rPr>
        <w:t xml:space="preserve">Productos sean diseñados de forma que pueda no solo repetirse su proceso de fabricación como en la economía lineal, sino que la restauración y el reciclaje sean componente de ese proceso. El tercer principio, es el de fomentar la eficacia del sistema, eliminando las externalidades negativas, reduciendo los daños ambientales y aquellos asociados al uso humano. Para poder lograr que la ciudad se oriente hacia una economía circular, el presente Proyecto contiene diferentes líneas estratégicas que buscan desde distintas perspectivas y múltiples mecanismos, la creación de valor vinculado al consumo de recursos y en especial a la diminución </w:t>
      </w:r>
      <w:r w:rsidRPr="00A75544">
        <w:rPr>
          <w:rFonts w:eastAsia="Arial" w:cs="Arial"/>
        </w:rPr>
        <w:lastRenderedPageBreak/>
        <w:t>de la generación de residuos. En este orden de ideas, el PRAS o Reciclar Transforma establece seis (6) líneas estratégicas con sus principios rectores con enfoque de economía circular, la dignificación de la labor del recelador y principios de sostenibilidad, de las cuales se desprenden proyectos para su implementación.</w:t>
      </w:r>
    </w:p>
    <w:p w14:paraId="02218A22" w14:textId="77777777" w:rsidR="00A75544" w:rsidRPr="00A75544" w:rsidRDefault="00A75544" w:rsidP="00A75544">
      <w:pPr>
        <w:pBdr>
          <w:top w:val="nil"/>
          <w:left w:val="nil"/>
          <w:bottom w:val="nil"/>
          <w:right w:val="nil"/>
          <w:between w:val="nil"/>
        </w:pBdr>
        <w:spacing w:after="0"/>
        <w:jc w:val="both"/>
        <w:rPr>
          <w:rFonts w:eastAsia="Arial" w:cs="Arial"/>
        </w:rPr>
      </w:pPr>
    </w:p>
    <w:p w14:paraId="18DC82FD" w14:textId="36653C45" w:rsidR="00D57953" w:rsidRDefault="00A75544" w:rsidP="0014244C">
      <w:pPr>
        <w:pBdr>
          <w:top w:val="nil"/>
          <w:left w:val="nil"/>
          <w:bottom w:val="nil"/>
          <w:right w:val="nil"/>
          <w:between w:val="nil"/>
        </w:pBdr>
        <w:spacing w:after="0"/>
        <w:jc w:val="both"/>
        <w:rPr>
          <w:rFonts w:eastAsia="Arial" w:cs="Arial"/>
        </w:rPr>
      </w:pPr>
      <w:r w:rsidRPr="00A75544">
        <w:rPr>
          <w:rFonts w:eastAsia="Arial" w:cs="Arial"/>
        </w:rPr>
        <w:t>La política pública de aprovechamiento de residuos de Bogotá comprende retos desde la eficiencia y capacidad del modelo y esquema operativo del servicio de aprovechamiento de residuos, como desde el componente de equidad social para velar por la inclusión de la población recicladora de oficio en la cadena productiva de aprovechamiento y reciclaje de Bogotá. Con el Proyecto de Reciclaje y Aprovechamiento Sostenible o también denominado Reciclar Transforma, se armoniza con los Objetivos de Desarrollo Sostenible (CONPES 3918, DNP/2018) y en particular, contribuye a los objetivos: 1, 8, 9, 10, 11, 12 y 13. Además, a través del presente proyecto, Bogotá busca integrarse a la transición hacia una economía circular que fomente el aumento en la calidad de vida de los recicladores de oficio, la ciudadanía, la disminución en la utilización eficiente de los recursos, agua y energía.”</w:t>
      </w:r>
    </w:p>
    <w:p w14:paraId="64C60080" w14:textId="1B0E1BBF" w:rsidR="0014244C" w:rsidRPr="00561A70" w:rsidRDefault="0014244C" w:rsidP="0014244C">
      <w:pPr>
        <w:pBdr>
          <w:top w:val="nil"/>
          <w:left w:val="nil"/>
          <w:bottom w:val="nil"/>
          <w:right w:val="nil"/>
          <w:between w:val="nil"/>
        </w:pBdr>
        <w:spacing w:after="0"/>
        <w:jc w:val="both"/>
        <w:rPr>
          <w:rFonts w:eastAsia="Arial" w:cs="Arial"/>
          <w:b/>
          <w:bCs/>
        </w:rPr>
      </w:pPr>
    </w:p>
    <w:p w14:paraId="57286D03" w14:textId="5F334D27" w:rsidR="00D57953" w:rsidRPr="00561A70" w:rsidRDefault="004B2EEA" w:rsidP="004B2EEA">
      <w:pPr>
        <w:pStyle w:val="Ttulo4"/>
        <w:ind w:firstLine="0"/>
      </w:pPr>
      <w:r>
        <w:t xml:space="preserve">2.1.8.1 </w:t>
      </w:r>
      <w:r w:rsidR="0014244C" w:rsidRPr="00561A70">
        <w:t>Diagnostico local</w:t>
      </w:r>
      <w:r w:rsidR="00EC2349">
        <w:t>idad</w:t>
      </w:r>
      <w:r w:rsidR="0014244C" w:rsidRPr="00561A70">
        <w:t xml:space="preserve"> de los </w:t>
      </w:r>
      <w:r w:rsidR="00EC2349">
        <w:t>M</w:t>
      </w:r>
      <w:r w:rsidR="0014244C" w:rsidRPr="00561A70">
        <w:t xml:space="preserve">ártires </w:t>
      </w:r>
      <w:r w:rsidR="00EC2349">
        <w:t>LIME</w:t>
      </w:r>
      <w:r w:rsidR="0014244C" w:rsidRPr="00561A70">
        <w:t xml:space="preserve"> </w:t>
      </w:r>
      <w:r w:rsidR="00EC2349">
        <w:t>S.A.</w:t>
      </w:r>
      <w:r w:rsidR="0014244C" w:rsidRPr="00561A70">
        <w:t xml:space="preserve"> </w:t>
      </w:r>
      <w:r w:rsidR="00561A70" w:rsidRPr="00561A70">
        <w:t>E.S.P.</w:t>
      </w:r>
    </w:p>
    <w:p w14:paraId="58CFF5E6" w14:textId="78C81C9E" w:rsidR="00D01129" w:rsidRDefault="00D01129" w:rsidP="00D01129">
      <w:pPr>
        <w:pBdr>
          <w:top w:val="nil"/>
          <w:left w:val="nil"/>
          <w:bottom w:val="nil"/>
          <w:right w:val="nil"/>
          <w:between w:val="nil"/>
        </w:pBdr>
        <w:spacing w:after="0"/>
        <w:jc w:val="both"/>
        <w:rPr>
          <w:rFonts w:eastAsia="Arial" w:cs="Arial"/>
        </w:rPr>
      </w:pPr>
      <w:r w:rsidRPr="00D01129">
        <w:rPr>
          <w:rFonts w:eastAsia="Arial" w:cs="Arial"/>
        </w:rPr>
        <w:t xml:space="preserve">A través de la licitación para el contrato UAESP 284 de 2018, LIME S.A. E.S.P. ingresa al ASE No. 2 (Área de Servicio Exclusivo No. 2) como concesionario prestador del servicio público de aseo para las localidades que componen dicho </w:t>
      </w:r>
      <w:proofErr w:type="gramStart"/>
      <w:r w:rsidRPr="00D01129">
        <w:rPr>
          <w:rFonts w:eastAsia="Arial" w:cs="Arial"/>
        </w:rPr>
        <w:t>ASE,  entre</w:t>
      </w:r>
      <w:proofErr w:type="gramEnd"/>
      <w:r w:rsidRPr="00D01129">
        <w:rPr>
          <w:rFonts w:eastAsia="Arial" w:cs="Arial"/>
        </w:rPr>
        <w:t xml:space="preserve"> ellas la localidad de Los Mártires. Acorde a ello, durante los primeros días del mes de febrero de 2018, LIME S.A. E.S.P. realizó jornadas informativas puerta a puerta con el objetivo de anunciar a toda la comunidad sobre el cambio de operador de aseo y los cambios de horarios y frecuencias en la operación de recolección de residuos sólidos. El día 12 de febrero de 2018 el concesionario inició la ejecución de sus procesos en dicha zona, realizando actividades de recolección de residuos ordinarios, barrio manual y mecánico de vías públicas y corte de césped. </w:t>
      </w:r>
    </w:p>
    <w:p w14:paraId="2FFEC3B9" w14:textId="77777777" w:rsidR="00FA7D55" w:rsidRPr="00D01129" w:rsidRDefault="00FA7D55" w:rsidP="00D01129">
      <w:pPr>
        <w:pBdr>
          <w:top w:val="nil"/>
          <w:left w:val="nil"/>
          <w:bottom w:val="nil"/>
          <w:right w:val="nil"/>
          <w:between w:val="nil"/>
        </w:pBdr>
        <w:spacing w:after="0"/>
        <w:jc w:val="both"/>
        <w:rPr>
          <w:rFonts w:eastAsia="Arial" w:cs="Arial"/>
        </w:rPr>
      </w:pPr>
    </w:p>
    <w:p w14:paraId="3301560A" w14:textId="554E91DA" w:rsidR="00F85E39" w:rsidRDefault="00D01129" w:rsidP="00D01129">
      <w:pPr>
        <w:pBdr>
          <w:top w:val="nil"/>
          <w:left w:val="nil"/>
          <w:bottom w:val="nil"/>
          <w:right w:val="nil"/>
          <w:between w:val="nil"/>
        </w:pBdr>
        <w:spacing w:after="0"/>
        <w:jc w:val="both"/>
        <w:rPr>
          <w:rFonts w:eastAsia="Arial" w:cs="Arial"/>
        </w:rPr>
      </w:pPr>
      <w:r w:rsidRPr="00D01129">
        <w:rPr>
          <w:rFonts w:eastAsia="Arial" w:cs="Arial"/>
        </w:rPr>
        <w:t>Siendo ésta una localidad con una dinámica comercial considerable, el concesionario estableció la operación de recolección de hasta 3 veces al día todos los días de la semana en el sector netamente comercial y de 3 veces por semana en horario nocturno para la zona residencial. De igual manera se cuenta con el servicio de barrido diario, con el objetivo de mantener el espacio público en las mejores condiciones para su uso.</w:t>
      </w:r>
    </w:p>
    <w:p w14:paraId="423E3854" w14:textId="77777777" w:rsidR="00F85E39" w:rsidRDefault="00F85E39" w:rsidP="00D01129">
      <w:pPr>
        <w:pBdr>
          <w:top w:val="nil"/>
          <w:left w:val="nil"/>
          <w:bottom w:val="nil"/>
          <w:right w:val="nil"/>
          <w:between w:val="nil"/>
        </w:pBdr>
        <w:spacing w:after="0"/>
        <w:jc w:val="both"/>
        <w:rPr>
          <w:rFonts w:eastAsia="Arial" w:cs="Arial"/>
        </w:rPr>
      </w:pPr>
    </w:p>
    <w:p w14:paraId="101E96FF" w14:textId="5997E38C" w:rsidR="00D01129" w:rsidRPr="00D01129" w:rsidRDefault="00D01129" w:rsidP="00D01129">
      <w:pPr>
        <w:pBdr>
          <w:top w:val="nil"/>
          <w:left w:val="nil"/>
          <w:bottom w:val="nil"/>
          <w:right w:val="nil"/>
          <w:between w:val="nil"/>
        </w:pBdr>
        <w:spacing w:after="0"/>
        <w:jc w:val="both"/>
        <w:rPr>
          <w:rFonts w:eastAsia="Arial" w:cs="Arial"/>
        </w:rPr>
      </w:pPr>
      <w:r w:rsidRPr="00D01129">
        <w:rPr>
          <w:rFonts w:eastAsia="Arial" w:cs="Arial"/>
        </w:rPr>
        <w:lastRenderedPageBreak/>
        <w:t xml:space="preserve">A </w:t>
      </w:r>
      <w:proofErr w:type="gramStart"/>
      <w:r w:rsidRPr="00D01129">
        <w:rPr>
          <w:rFonts w:eastAsia="Arial" w:cs="Arial"/>
        </w:rPr>
        <w:t>continuación</w:t>
      </w:r>
      <w:proofErr w:type="gramEnd"/>
      <w:r w:rsidRPr="00D01129">
        <w:rPr>
          <w:rFonts w:eastAsia="Arial" w:cs="Arial"/>
        </w:rPr>
        <w:t xml:space="preserve"> el mapa de recolección de residuos sólidos domiciliarios para la localidad de Mártires en el cual se pueden ver los horarios y frecuencias manejados en toda la localidad.</w:t>
      </w:r>
    </w:p>
    <w:p w14:paraId="4C1B7FAE" w14:textId="77777777" w:rsidR="0019556C" w:rsidRDefault="0019556C" w:rsidP="0019556C">
      <w:pPr>
        <w:pBdr>
          <w:top w:val="nil"/>
          <w:left w:val="nil"/>
          <w:bottom w:val="nil"/>
          <w:right w:val="nil"/>
          <w:between w:val="nil"/>
        </w:pBdr>
        <w:spacing w:after="0"/>
        <w:jc w:val="center"/>
        <w:rPr>
          <w:rFonts w:eastAsia="Arial" w:cs="Arial"/>
          <w:noProof/>
        </w:rPr>
      </w:pPr>
    </w:p>
    <w:p w14:paraId="04977536" w14:textId="4CE36EB9" w:rsidR="00D57953" w:rsidRDefault="0019556C" w:rsidP="0019556C">
      <w:pPr>
        <w:pBdr>
          <w:top w:val="nil"/>
          <w:left w:val="nil"/>
          <w:bottom w:val="nil"/>
          <w:right w:val="nil"/>
          <w:between w:val="nil"/>
        </w:pBdr>
        <w:spacing w:after="0"/>
        <w:jc w:val="center"/>
        <w:rPr>
          <w:rFonts w:eastAsia="Arial" w:cs="Arial"/>
        </w:rPr>
      </w:pPr>
      <w:r>
        <w:rPr>
          <w:rFonts w:eastAsia="Arial" w:cs="Arial"/>
          <w:noProof/>
        </w:rPr>
        <w:drawing>
          <wp:inline distT="0" distB="0" distL="0" distR="0" wp14:anchorId="2CB0D5FB" wp14:editId="20B0E240">
            <wp:extent cx="4087198" cy="4724400"/>
            <wp:effectExtent l="0" t="0" r="889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090077" cy="4727728"/>
                    </a:xfrm>
                    <a:prstGeom prst="rect">
                      <a:avLst/>
                    </a:prstGeom>
                    <a:noFill/>
                  </pic:spPr>
                </pic:pic>
              </a:graphicData>
            </a:graphic>
          </wp:inline>
        </w:drawing>
      </w:r>
    </w:p>
    <w:p w14:paraId="0D127517" w14:textId="77777777" w:rsidR="005F7A1A" w:rsidRDefault="0019556C" w:rsidP="005F7A1A">
      <w:pPr>
        <w:keepNext/>
        <w:pBdr>
          <w:top w:val="nil"/>
          <w:left w:val="nil"/>
          <w:bottom w:val="nil"/>
          <w:right w:val="nil"/>
          <w:between w:val="nil"/>
        </w:pBdr>
        <w:spacing w:after="0"/>
        <w:jc w:val="center"/>
      </w:pPr>
      <w:r>
        <w:rPr>
          <w:noProof/>
          <w:lang w:eastAsia="es-CO"/>
        </w:rPr>
        <w:drawing>
          <wp:inline distT="0" distB="0" distL="0" distR="0" wp14:anchorId="74800592" wp14:editId="28129322">
            <wp:extent cx="4180792" cy="1652289"/>
            <wp:effectExtent l="0" t="0" r="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2508" t="17277" r="11442" b="11104"/>
                    <a:stretch/>
                  </pic:blipFill>
                  <pic:spPr bwMode="auto">
                    <a:xfrm>
                      <a:off x="0" y="0"/>
                      <a:ext cx="4199330" cy="1659615"/>
                    </a:xfrm>
                    <a:prstGeom prst="rect">
                      <a:avLst/>
                    </a:prstGeom>
                    <a:ln>
                      <a:noFill/>
                    </a:ln>
                    <a:extLst>
                      <a:ext uri="{53640926-AAD7-44D8-BBD7-CCE9431645EC}">
                        <a14:shadowObscured xmlns:a14="http://schemas.microsoft.com/office/drawing/2010/main"/>
                      </a:ext>
                    </a:extLst>
                  </pic:spPr>
                </pic:pic>
              </a:graphicData>
            </a:graphic>
          </wp:inline>
        </w:drawing>
      </w:r>
    </w:p>
    <w:p w14:paraId="0FE5400A" w14:textId="67E77FC2" w:rsidR="0019556C" w:rsidRPr="005F7A1A" w:rsidRDefault="005F7A1A" w:rsidP="005F7A1A">
      <w:pPr>
        <w:pStyle w:val="Descripcin"/>
        <w:spacing w:after="0"/>
        <w:jc w:val="center"/>
        <w:rPr>
          <w:color w:val="auto"/>
        </w:rPr>
      </w:pPr>
      <w:bookmarkStart w:id="30" w:name="_Toc57223721"/>
      <w:r w:rsidRPr="005F7A1A">
        <w:rPr>
          <w:color w:val="auto"/>
        </w:rPr>
        <w:t xml:space="preserve">Ilustración </w:t>
      </w:r>
      <w:r w:rsidRPr="005F7A1A">
        <w:rPr>
          <w:color w:val="auto"/>
        </w:rPr>
        <w:fldChar w:fldCharType="begin"/>
      </w:r>
      <w:r w:rsidRPr="005F7A1A">
        <w:rPr>
          <w:color w:val="auto"/>
        </w:rPr>
        <w:instrText xml:space="preserve"> SEQ Ilustración \* ARABIC </w:instrText>
      </w:r>
      <w:r w:rsidRPr="005F7A1A">
        <w:rPr>
          <w:color w:val="auto"/>
        </w:rPr>
        <w:fldChar w:fldCharType="separate"/>
      </w:r>
      <w:r w:rsidR="00DC2EB1">
        <w:rPr>
          <w:noProof/>
          <w:color w:val="auto"/>
        </w:rPr>
        <w:t>3</w:t>
      </w:r>
      <w:r w:rsidRPr="005F7A1A">
        <w:rPr>
          <w:color w:val="auto"/>
        </w:rPr>
        <w:fldChar w:fldCharType="end"/>
      </w:r>
      <w:r w:rsidRPr="005F7A1A">
        <w:rPr>
          <w:color w:val="auto"/>
        </w:rPr>
        <w:t>. Micro-ruta de Recolección</w:t>
      </w:r>
      <w:bookmarkEnd w:id="30"/>
    </w:p>
    <w:p w14:paraId="0C005F7F" w14:textId="14B12053" w:rsidR="000D3B3C" w:rsidRPr="00795C1D" w:rsidRDefault="000D3B3C" w:rsidP="000D3B3C">
      <w:pPr>
        <w:pBdr>
          <w:top w:val="nil"/>
          <w:left w:val="nil"/>
          <w:bottom w:val="nil"/>
          <w:right w:val="nil"/>
          <w:between w:val="nil"/>
        </w:pBdr>
        <w:spacing w:after="0" w:line="240" w:lineRule="auto"/>
        <w:jc w:val="center"/>
        <w:rPr>
          <w:rFonts w:eastAsia="Arial" w:cs="Arial"/>
          <w:i/>
          <w:iCs/>
          <w:sz w:val="18"/>
          <w:szCs w:val="18"/>
        </w:rPr>
      </w:pPr>
      <w:r w:rsidRPr="00795C1D">
        <w:rPr>
          <w:rFonts w:eastAsia="Arial" w:cs="Arial"/>
          <w:i/>
          <w:iCs/>
          <w:sz w:val="18"/>
          <w:szCs w:val="18"/>
        </w:rPr>
        <w:t>Fuente: Diagnostico localidad de los Mártires LIME S.A. E.S.P.</w:t>
      </w:r>
    </w:p>
    <w:p w14:paraId="6A31D4DC" w14:textId="77777777" w:rsidR="000D3B3C" w:rsidRPr="00E521B7" w:rsidRDefault="000D3B3C" w:rsidP="000D3B3C">
      <w:pPr>
        <w:pBdr>
          <w:top w:val="nil"/>
          <w:left w:val="nil"/>
          <w:bottom w:val="nil"/>
          <w:right w:val="nil"/>
          <w:between w:val="nil"/>
        </w:pBdr>
        <w:spacing w:after="0" w:line="240" w:lineRule="auto"/>
        <w:jc w:val="center"/>
        <w:rPr>
          <w:rFonts w:eastAsia="Arial" w:cs="Arial"/>
          <w:sz w:val="18"/>
          <w:szCs w:val="18"/>
        </w:rPr>
      </w:pPr>
    </w:p>
    <w:p w14:paraId="6BDBB4BF" w14:textId="6982B06A" w:rsidR="00EC2349" w:rsidRDefault="00EC2349" w:rsidP="00EC2349">
      <w:pPr>
        <w:pBdr>
          <w:top w:val="nil"/>
          <w:left w:val="nil"/>
          <w:bottom w:val="nil"/>
          <w:right w:val="nil"/>
          <w:between w:val="nil"/>
        </w:pBdr>
        <w:spacing w:after="0"/>
        <w:jc w:val="both"/>
        <w:rPr>
          <w:rFonts w:eastAsia="Arial" w:cs="Arial"/>
        </w:rPr>
      </w:pPr>
      <w:r w:rsidRPr="00EC2349">
        <w:rPr>
          <w:rFonts w:eastAsia="Arial" w:cs="Arial"/>
        </w:rPr>
        <w:t xml:space="preserve">A partir del inicio de la operación, el concesionario comenzó a </w:t>
      </w:r>
      <w:proofErr w:type="gramStart"/>
      <w:r w:rsidRPr="00EC2349">
        <w:rPr>
          <w:rFonts w:eastAsia="Arial" w:cs="Arial"/>
        </w:rPr>
        <w:t>reconocer  las</w:t>
      </w:r>
      <w:proofErr w:type="gramEnd"/>
      <w:r w:rsidRPr="00EC2349">
        <w:rPr>
          <w:rFonts w:eastAsia="Arial" w:cs="Arial"/>
        </w:rPr>
        <w:t xml:space="preserve"> diversas dificultades y fortalezas de la localidad con respecto al manejo de residuos sólidos, lo que se </w:t>
      </w:r>
      <w:r w:rsidRPr="00EC2349">
        <w:rPr>
          <w:rFonts w:eastAsia="Arial" w:cs="Arial"/>
        </w:rPr>
        <w:lastRenderedPageBreak/>
        <w:t>traduce en la identificación de puntos críticos de arrojo de residuos mixtos clandestinos y puntos de indisciplina de usuarios.</w:t>
      </w:r>
    </w:p>
    <w:p w14:paraId="55B6BE41" w14:textId="77777777" w:rsidR="00F85E39" w:rsidRPr="00EC2349" w:rsidRDefault="00F85E39" w:rsidP="00EC2349">
      <w:pPr>
        <w:pBdr>
          <w:top w:val="nil"/>
          <w:left w:val="nil"/>
          <w:bottom w:val="nil"/>
          <w:right w:val="nil"/>
          <w:between w:val="nil"/>
        </w:pBdr>
        <w:spacing w:after="0"/>
        <w:jc w:val="both"/>
        <w:rPr>
          <w:rFonts w:eastAsia="Arial" w:cs="Arial"/>
        </w:rPr>
      </w:pPr>
    </w:p>
    <w:p w14:paraId="66B1F1FB" w14:textId="5EADA518" w:rsidR="00EC2349" w:rsidRDefault="00EC2349" w:rsidP="00EC2349">
      <w:pPr>
        <w:pBdr>
          <w:top w:val="nil"/>
          <w:left w:val="nil"/>
          <w:bottom w:val="nil"/>
          <w:right w:val="nil"/>
          <w:between w:val="nil"/>
        </w:pBdr>
        <w:spacing w:after="0"/>
        <w:jc w:val="both"/>
        <w:rPr>
          <w:rFonts w:eastAsia="Arial" w:cs="Arial"/>
        </w:rPr>
      </w:pPr>
      <w:r w:rsidRPr="00EC2349">
        <w:rPr>
          <w:rFonts w:eastAsia="Arial" w:cs="Arial"/>
        </w:rPr>
        <w:t xml:space="preserve">Con respecto a los </w:t>
      </w:r>
      <w:bookmarkStart w:id="31" w:name="_Hlk56697640"/>
      <w:r w:rsidRPr="00EC2349">
        <w:rPr>
          <w:rFonts w:eastAsia="Arial" w:cs="Arial"/>
        </w:rPr>
        <w:t>puntos críticos de arrojo de residuos mixtos clandestinos</w:t>
      </w:r>
      <w:bookmarkEnd w:id="31"/>
      <w:r w:rsidRPr="00EC2349">
        <w:rPr>
          <w:rFonts w:eastAsia="Arial" w:cs="Arial"/>
        </w:rPr>
        <w:t xml:space="preserve">, se elaboró consolidado con el objetivo de mantener un seguimiento por parte del área operativa. En dicha matriz se listan los puntos identificados por el concesionario además de los puntos registrados en el PGIRS (Plan de Gestión Integral de Residuos Sólidos) del distrito. Cabe mencionar que dichos puntos cuentan con una frecuencia de recolección mínima establecida con el fin de darle mantenimiento constante y así evitar el impacto negativo sobre la comunidad aledaña. </w:t>
      </w:r>
      <w:proofErr w:type="gramStart"/>
      <w:r w:rsidRPr="00EC2349">
        <w:rPr>
          <w:rFonts w:eastAsia="Arial" w:cs="Arial"/>
        </w:rPr>
        <w:t>Además</w:t>
      </w:r>
      <w:proofErr w:type="gramEnd"/>
      <w:r w:rsidRPr="00EC2349">
        <w:rPr>
          <w:rFonts w:eastAsia="Arial" w:cs="Arial"/>
        </w:rPr>
        <w:t xml:space="preserve"> dentro de las competencias del área de Gestión Social se empezó a realizar trabajo pedagógico con los usuarios de las zonas aledañas a dichos puntos para buscar reducir la cantidad de indisciplina de estos puntos mencionados.</w:t>
      </w:r>
    </w:p>
    <w:p w14:paraId="08E6ADD7" w14:textId="1077B216" w:rsidR="00D57953" w:rsidRDefault="00EC2349" w:rsidP="00A56342">
      <w:pPr>
        <w:pBdr>
          <w:top w:val="nil"/>
          <w:left w:val="nil"/>
          <w:bottom w:val="nil"/>
          <w:right w:val="nil"/>
          <w:between w:val="nil"/>
        </w:pBdr>
        <w:spacing w:after="0"/>
        <w:jc w:val="both"/>
        <w:rPr>
          <w:rFonts w:eastAsia="Arial" w:cs="Arial"/>
        </w:rPr>
      </w:pPr>
      <w:r w:rsidRPr="00EC2349">
        <w:rPr>
          <w:rFonts w:eastAsia="Arial" w:cs="Arial"/>
        </w:rPr>
        <w:t xml:space="preserve">A </w:t>
      </w:r>
      <w:proofErr w:type="gramStart"/>
      <w:r w:rsidRPr="00EC2349">
        <w:rPr>
          <w:rFonts w:eastAsia="Arial" w:cs="Arial"/>
        </w:rPr>
        <w:t>continuación</w:t>
      </w:r>
      <w:proofErr w:type="gramEnd"/>
      <w:r w:rsidRPr="00EC2349">
        <w:rPr>
          <w:rFonts w:eastAsia="Arial" w:cs="Arial"/>
        </w:rPr>
        <w:t xml:space="preserve"> se detalla el consolidado anteriormente mencionado:</w:t>
      </w:r>
    </w:p>
    <w:p w14:paraId="2A327BA8" w14:textId="7F0CCD94" w:rsidR="00D67781" w:rsidRPr="00486FB0" w:rsidRDefault="00D67781" w:rsidP="00D67781">
      <w:pPr>
        <w:pStyle w:val="Descripcin"/>
        <w:keepNext/>
        <w:jc w:val="center"/>
        <w:rPr>
          <w:color w:val="auto"/>
        </w:rPr>
      </w:pPr>
      <w:bookmarkStart w:id="32" w:name="_Toc57227489"/>
      <w:r w:rsidRPr="00486FB0">
        <w:rPr>
          <w:color w:val="auto"/>
        </w:rPr>
        <w:t xml:space="preserve">Tabla </w:t>
      </w:r>
      <w:r w:rsidRPr="00486FB0">
        <w:rPr>
          <w:color w:val="auto"/>
        </w:rPr>
        <w:fldChar w:fldCharType="begin"/>
      </w:r>
      <w:r w:rsidRPr="00486FB0">
        <w:rPr>
          <w:color w:val="auto"/>
        </w:rPr>
        <w:instrText xml:space="preserve"> SEQ Tabla \* ARABIC </w:instrText>
      </w:r>
      <w:r w:rsidRPr="00486FB0">
        <w:rPr>
          <w:color w:val="auto"/>
        </w:rPr>
        <w:fldChar w:fldCharType="separate"/>
      </w:r>
      <w:r w:rsidR="00C37D33">
        <w:rPr>
          <w:noProof/>
          <w:color w:val="auto"/>
        </w:rPr>
        <w:t>4</w:t>
      </w:r>
      <w:r w:rsidRPr="00486FB0">
        <w:rPr>
          <w:color w:val="auto"/>
        </w:rPr>
        <w:fldChar w:fldCharType="end"/>
      </w:r>
      <w:r w:rsidRPr="00486FB0">
        <w:rPr>
          <w:color w:val="auto"/>
        </w:rPr>
        <w:t>.Puntos críticos de arrojo de residuos mixtos clandestinos.</w:t>
      </w:r>
      <w:bookmarkEnd w:id="32"/>
    </w:p>
    <w:tbl>
      <w:tblPr>
        <w:tblW w:w="9079" w:type="dxa"/>
        <w:jc w:val="center"/>
        <w:tblCellMar>
          <w:top w:w="15" w:type="dxa"/>
          <w:left w:w="70" w:type="dxa"/>
          <w:bottom w:w="15" w:type="dxa"/>
          <w:right w:w="70" w:type="dxa"/>
        </w:tblCellMar>
        <w:tblLook w:val="04A0" w:firstRow="1" w:lastRow="0" w:firstColumn="1" w:lastColumn="0" w:noHBand="0" w:noVBand="1"/>
      </w:tblPr>
      <w:tblGrid>
        <w:gridCol w:w="735"/>
        <w:gridCol w:w="6641"/>
        <w:gridCol w:w="1703"/>
      </w:tblGrid>
      <w:tr w:rsidR="00A56342" w:rsidRPr="00FA7E5C" w14:paraId="1D80C39E"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10B6E24" w14:textId="77777777" w:rsidR="00A56342" w:rsidRPr="00FA7E5C" w:rsidRDefault="00A56342" w:rsidP="00842C77">
            <w:pPr>
              <w:spacing w:after="0" w:line="240" w:lineRule="auto"/>
              <w:jc w:val="center"/>
              <w:rPr>
                <w:rFonts w:ascii="Tahoma" w:eastAsia="Times New Roman" w:hAnsi="Tahoma" w:cs="Tahoma"/>
                <w:b/>
                <w:bCs/>
                <w:color w:val="000000"/>
                <w:sz w:val="20"/>
                <w:szCs w:val="20"/>
                <w:lang w:eastAsia="es-CO"/>
              </w:rPr>
            </w:pPr>
            <w:r w:rsidRPr="00FA7E5C">
              <w:rPr>
                <w:rFonts w:ascii="Tahoma" w:eastAsia="Times New Roman" w:hAnsi="Tahoma" w:cs="Tahoma"/>
                <w:b/>
                <w:bCs/>
                <w:color w:val="000000"/>
                <w:sz w:val="20"/>
                <w:szCs w:val="20"/>
                <w:lang w:eastAsia="es-CO"/>
              </w:rPr>
              <w:t>No Punto</w:t>
            </w:r>
          </w:p>
        </w:tc>
        <w:tc>
          <w:tcPr>
            <w:tcW w:w="664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E8D15F8" w14:textId="77777777" w:rsidR="00A56342" w:rsidRPr="00FA7E5C" w:rsidRDefault="00A56342" w:rsidP="00842C77">
            <w:pPr>
              <w:spacing w:after="0" w:line="240" w:lineRule="auto"/>
              <w:jc w:val="center"/>
              <w:rPr>
                <w:rFonts w:ascii="Tahoma" w:eastAsia="Times New Roman" w:hAnsi="Tahoma" w:cs="Tahoma"/>
                <w:b/>
                <w:bCs/>
                <w:color w:val="000000"/>
                <w:sz w:val="20"/>
                <w:szCs w:val="20"/>
                <w:lang w:eastAsia="es-CO"/>
              </w:rPr>
            </w:pPr>
            <w:r w:rsidRPr="00FA7E5C">
              <w:rPr>
                <w:rFonts w:ascii="Tahoma" w:eastAsia="Times New Roman" w:hAnsi="Tahoma" w:cs="Tahoma"/>
                <w:b/>
                <w:bCs/>
                <w:color w:val="000000"/>
                <w:sz w:val="20"/>
                <w:szCs w:val="20"/>
                <w:lang w:eastAsia="es-CO"/>
              </w:rPr>
              <w:t>Dirección</w:t>
            </w:r>
          </w:p>
        </w:tc>
        <w:tc>
          <w:tcPr>
            <w:tcW w:w="17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590C275" w14:textId="77777777" w:rsidR="00A56342" w:rsidRPr="00FA7E5C" w:rsidRDefault="00A56342" w:rsidP="00842C77">
            <w:pPr>
              <w:spacing w:after="0" w:line="240" w:lineRule="auto"/>
              <w:jc w:val="center"/>
              <w:rPr>
                <w:rFonts w:ascii="Tahoma" w:eastAsia="Times New Roman" w:hAnsi="Tahoma" w:cs="Tahoma"/>
                <w:b/>
                <w:bCs/>
                <w:color w:val="000000"/>
                <w:sz w:val="20"/>
                <w:szCs w:val="20"/>
                <w:lang w:eastAsia="es-CO"/>
              </w:rPr>
            </w:pPr>
            <w:r w:rsidRPr="00FA7E5C">
              <w:rPr>
                <w:rFonts w:ascii="Tahoma" w:eastAsia="Times New Roman" w:hAnsi="Tahoma" w:cs="Tahoma"/>
                <w:b/>
                <w:bCs/>
                <w:color w:val="000000"/>
                <w:sz w:val="20"/>
                <w:szCs w:val="20"/>
                <w:lang w:eastAsia="es-CO"/>
              </w:rPr>
              <w:t>Estado</w:t>
            </w:r>
          </w:p>
        </w:tc>
      </w:tr>
      <w:tr w:rsidR="00A56342" w:rsidRPr="00FA7E5C" w14:paraId="7ADCDAA4"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6FDD5851"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1</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1992060D"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30 &amp; CALLE 7</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11FEE67C"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47840B48"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05BCBD3E"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2</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34B4AA26"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27 &amp; CALLE 10</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11F0373E"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0D8EDDBC"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2FB1A71E"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3</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4D64FB32"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5 &amp; CARRERA 24</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36058A13"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0BAD6419"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3CDD3F2D"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4</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0ECD7EF0"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CARREREA 24 &amp; CALLE 11 SEPARADOR</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7C8B6BA4"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5F44E7DB"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15E5CDC1"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5</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2C132135"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11 &amp; CARRERA 20</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74EDBBA7"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6276307E"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717FB5DD"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6</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4B70E269"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13 &amp; CARRERA 15 SEPARADOR</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44AAAB30"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4855374A"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6B2F4CBA"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7</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109F7E8C"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AVENIDA CARACAS &amp; CALLE 7</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51C687D1"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3FD4C44C"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0836EDF9"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8</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3E542600"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1&amp; CARRERA 15</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3D429ED9"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4285DE5A"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607B6CCD"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9</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7A09E277"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19 &amp; CALLE 5</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6841E1F2"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5967EEFA"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24AFE994"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10</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0BA0A62A"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18 &amp; CALLE 7</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2D13531B"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32505D2E"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0347C132"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11</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72CB3C81"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17 &amp; CALLE 15</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79DD1A8C"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3FF8BEBD"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50136BFA"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12</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14222D7D"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 xml:space="preserve">CALLE </w:t>
            </w:r>
            <w:proofErr w:type="gramStart"/>
            <w:r w:rsidRPr="00FA7E5C">
              <w:rPr>
                <w:rFonts w:ascii="Tahoma" w:eastAsia="Times New Roman" w:hAnsi="Tahoma" w:cs="Tahoma"/>
                <w:color w:val="000000"/>
                <w:sz w:val="20"/>
                <w:szCs w:val="20"/>
                <w:lang w:eastAsia="es-CO"/>
              </w:rPr>
              <w:t>19  &amp;</w:t>
            </w:r>
            <w:proofErr w:type="gramEnd"/>
            <w:r w:rsidRPr="00FA7E5C">
              <w:rPr>
                <w:rFonts w:ascii="Tahoma" w:eastAsia="Times New Roman" w:hAnsi="Tahoma" w:cs="Tahoma"/>
                <w:color w:val="000000"/>
                <w:sz w:val="20"/>
                <w:szCs w:val="20"/>
                <w:lang w:eastAsia="es-CO"/>
              </w:rPr>
              <w:t xml:space="preserve"> CARRERA 15 SEPARADOR</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7E37DBD0"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67563B45"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44BA1C05"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13</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32D1D0F9"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22 &amp; CARRERA 18</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364A9C2D"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3C72ECB7"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722CA67F"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14</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35FC4D93"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17 &amp; CALLE 22</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2B38C88F"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7721DA7B"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1FF00F5C"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15</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5789FEF5" w14:textId="12121D6D"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27 &amp; CALLE 23</w:t>
            </w:r>
            <w:r w:rsidR="00C5679F">
              <w:rPr>
                <w:rFonts w:ascii="Tahoma" w:eastAsia="Times New Roman" w:hAnsi="Tahoma" w:cs="Tahoma"/>
                <w:color w:val="000000"/>
                <w:sz w:val="20"/>
                <w:szCs w:val="20"/>
                <w:lang w:eastAsia="es-CO"/>
              </w:rPr>
              <w:t>ª</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6406E23B"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47459EA5"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68C793D9"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16</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4B7FCCB7"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DIAGONAL 24 BIS &amp; CARRERA 27</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00DD5D01"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37F8EDD5"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54E3EB05"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17</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46BC0445"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DIAGONAL 19A &amp; CARRERA 19</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35FCA2A9"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630F2897"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63C8E64F"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18</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2D384E0D"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DIAGONAL 19A &amp; CARRERA 20</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64170B08"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449AA3B2"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57951E44"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19</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0EB708BF"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DIAGONAL19A &amp; CARRERA 21</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1ED74C66"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468CA787"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7B86B7CE"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20</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7A46595C"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DIAGONAL 19A &amp; CARRERA 22</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77DF249E"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4C0ADF37"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1D03AFB3"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21</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31782EB6"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Avenida Carrera 30 con Calle 24, Usatama,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6AA4B6EF"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INTERVENIDO</w:t>
            </w:r>
          </w:p>
        </w:tc>
      </w:tr>
      <w:tr w:rsidR="00A56342" w:rsidRPr="00FA7E5C" w14:paraId="313BC18E"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58222C80"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lastRenderedPageBreak/>
              <w:t>22</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32121D71"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Avenida Carrera 30 con Avenida Calle 6, Ricaurte,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7C0043F3"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INTERVENIDO</w:t>
            </w:r>
          </w:p>
        </w:tc>
      </w:tr>
      <w:tr w:rsidR="00A56342" w:rsidRPr="00FA7E5C" w14:paraId="5876987C"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5C7D3D3A"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23</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4BA2AF57"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Avenida Carrera 27 con Calle 1F, Santa Isabel Sur,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3B2D6B35"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MITIGADO</w:t>
            </w:r>
          </w:p>
        </w:tc>
      </w:tr>
      <w:tr w:rsidR="00A56342" w:rsidRPr="00FA7E5C" w14:paraId="10FF2095"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58C4AAC8"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24</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0BD89D6A"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27A con Calle 24C, Florida,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101BAE6C"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INTERVENIDO</w:t>
            </w:r>
          </w:p>
        </w:tc>
      </w:tr>
      <w:tr w:rsidR="00A56342" w:rsidRPr="00FA7E5C" w14:paraId="5D410B07"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2691A236"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25</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3C08C04B"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Avenida Carrera 27 con Calle 22, Paloquemao,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36C5CC72"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INTERVENIDO</w:t>
            </w:r>
          </w:p>
        </w:tc>
      </w:tr>
      <w:tr w:rsidR="00A56342" w:rsidRPr="00FA7E5C" w14:paraId="7AB31FBB"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2350EEAD"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26</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72E1223C"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25 con Calle 5, Veraguas,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41EB4B43"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MITIGADO</w:t>
            </w:r>
          </w:p>
        </w:tc>
      </w:tr>
      <w:tr w:rsidR="00A56342" w:rsidRPr="00FA7E5C" w14:paraId="7B94D647"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44D53355"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27</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421F1B05"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5B con Carrera 19, El Progreso,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3E5C722C"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MITIGADO</w:t>
            </w:r>
          </w:p>
        </w:tc>
      </w:tr>
      <w:tr w:rsidR="00A56342" w:rsidRPr="00FA7E5C" w14:paraId="2AAF69A8"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17ED48E6"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28</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051250A3"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24 &amp; CALLE 6</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2AAC2FB8"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2EA39F3C"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26751445"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29</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7497646B"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1F con Carrera 24, El Vergel,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6EF45667"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INTERVENIDO</w:t>
            </w:r>
          </w:p>
        </w:tc>
      </w:tr>
      <w:tr w:rsidR="00A56342" w:rsidRPr="00FA7E5C" w14:paraId="04DACFDE"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56209757"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30</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3B5AB694"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2 con Carrera 24, El Vergel,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 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221B1AAB"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INTERVENIDO</w:t>
            </w:r>
          </w:p>
        </w:tc>
      </w:tr>
      <w:tr w:rsidR="00A56342" w:rsidRPr="00FA7E5C" w14:paraId="0023712A"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59651E89"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31</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17515207"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11 con Carrera 22, La Sabana,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25C48B5F"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ERRADICADO</w:t>
            </w:r>
          </w:p>
        </w:tc>
      </w:tr>
      <w:tr w:rsidR="00A56342" w:rsidRPr="00FA7E5C" w14:paraId="576A031E"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6AB90DD4"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32</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58547959"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11 con Carrera 19, La Pepita,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3BC032CF"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ERRADICADO</w:t>
            </w:r>
          </w:p>
        </w:tc>
      </w:tr>
      <w:tr w:rsidR="00A56342" w:rsidRPr="00FA7E5C" w14:paraId="32263FB6"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19068086"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33</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297D5A5D" w14:textId="77777777" w:rsidR="00A56342" w:rsidRPr="00CC5F85" w:rsidRDefault="00A56342" w:rsidP="00842C77">
            <w:pPr>
              <w:spacing w:after="0" w:line="240" w:lineRule="auto"/>
              <w:jc w:val="center"/>
              <w:rPr>
                <w:rFonts w:ascii="Tahoma" w:eastAsia="Times New Roman" w:hAnsi="Tahoma" w:cs="Tahoma"/>
                <w:color w:val="000000"/>
                <w:sz w:val="20"/>
                <w:szCs w:val="20"/>
                <w:lang w:eastAsia="es-CO"/>
              </w:rPr>
            </w:pPr>
            <w:r w:rsidRPr="00CC5F85">
              <w:rPr>
                <w:rFonts w:ascii="Tahoma" w:eastAsia="Times New Roman" w:hAnsi="Tahoma" w:cs="Tahoma"/>
                <w:color w:val="000000"/>
                <w:sz w:val="20"/>
                <w:szCs w:val="20"/>
                <w:lang w:eastAsia="es-CO"/>
              </w:rPr>
              <w:t xml:space="preserve">Calle 11 con Carrera 16, Voto Nacional, Los </w:t>
            </w:r>
            <w:r w:rsidRPr="00FA7E5C">
              <w:rPr>
                <w:rFonts w:ascii="Tahoma" w:eastAsia="Times New Roman" w:hAnsi="Tahoma" w:cs="Tahoma"/>
                <w:color w:val="000000"/>
                <w:sz w:val="20"/>
                <w:szCs w:val="20"/>
                <w:lang w:eastAsia="es-CO"/>
              </w:rPr>
              <w:t>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490078C7"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INTERVENIDO</w:t>
            </w:r>
          </w:p>
        </w:tc>
      </w:tr>
      <w:tr w:rsidR="00A56342" w:rsidRPr="00FA7E5C" w14:paraId="352A0810"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006705A8"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34</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0B50BE06" w14:textId="77777777" w:rsidR="00A56342" w:rsidRPr="00CC5F85" w:rsidRDefault="00A56342" w:rsidP="00842C77">
            <w:pPr>
              <w:spacing w:after="0" w:line="240" w:lineRule="auto"/>
              <w:jc w:val="center"/>
              <w:rPr>
                <w:rFonts w:ascii="Tahoma" w:eastAsia="Times New Roman" w:hAnsi="Tahoma" w:cs="Tahoma"/>
                <w:color w:val="000000"/>
                <w:sz w:val="20"/>
                <w:szCs w:val="20"/>
                <w:lang w:eastAsia="es-CO"/>
              </w:rPr>
            </w:pPr>
            <w:r w:rsidRPr="00CC5F85">
              <w:rPr>
                <w:rFonts w:ascii="Tahoma" w:eastAsia="Times New Roman" w:hAnsi="Tahoma" w:cs="Tahoma"/>
                <w:color w:val="000000"/>
                <w:sz w:val="20"/>
                <w:szCs w:val="20"/>
                <w:lang w:eastAsia="es-CO"/>
              </w:rPr>
              <w:t xml:space="preserve">Carrera 29 con Avenida Calle 13, Ricaurte, Los </w:t>
            </w:r>
            <w:r w:rsidRPr="00FA7E5C">
              <w:rPr>
                <w:rFonts w:ascii="Tahoma" w:eastAsia="Times New Roman" w:hAnsi="Tahoma" w:cs="Tahoma"/>
                <w:color w:val="000000"/>
                <w:sz w:val="20"/>
                <w:szCs w:val="20"/>
                <w:lang w:eastAsia="es-CO"/>
              </w:rPr>
              <w:t>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3396A44E"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MITIGADO</w:t>
            </w:r>
          </w:p>
        </w:tc>
      </w:tr>
      <w:tr w:rsidR="00A56342" w:rsidRPr="00FA7E5C" w14:paraId="5A384DB9"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28842033"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35</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6FD40035"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Avenida Calle 13 con Carrera 21, El Listón,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3318D1E0"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MITIGADO</w:t>
            </w:r>
          </w:p>
        </w:tc>
      </w:tr>
      <w:tr w:rsidR="00A56342" w:rsidRPr="00FA7E5C" w14:paraId="1E3CACF1"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3D0A99C2"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36</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5AB9825D"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AVENIDA CARACAS &amp; CALLE 13</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19CB104A"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3739FB52"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18C36D06"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37</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1C3A3FFF"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7A con Carrera 20A, La Estanzuela,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01B5D1B0"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MITIGADO</w:t>
            </w:r>
          </w:p>
        </w:tc>
      </w:tr>
      <w:tr w:rsidR="00A56342" w:rsidRPr="00FA7E5C" w14:paraId="3AD11294"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466B3CFA"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38</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1B0F188A"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7 con Carrera 15, La Estanzuela,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2D2D382E"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MITIGADO</w:t>
            </w:r>
          </w:p>
        </w:tc>
      </w:tr>
      <w:tr w:rsidR="00A56342" w:rsidRPr="00FA7E5C" w14:paraId="35EDF342"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01C297C1"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39</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21446E61"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9 con Carrera 15BIS, Voto Nacional,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594B399C"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MITIGADO</w:t>
            </w:r>
          </w:p>
        </w:tc>
      </w:tr>
      <w:tr w:rsidR="00A56342" w:rsidRPr="00FA7E5C" w14:paraId="283C9E19"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0499FFCD"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40</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22F70044"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15 &amp; CARRERA 15 MARTIRES</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78D1EB4B"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01C11FE9"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3889F6AE"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41</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1FC943A2"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4 con Carrera 15B, Eduardo Santos,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07347034"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INTERVENIDO</w:t>
            </w:r>
          </w:p>
        </w:tc>
      </w:tr>
      <w:tr w:rsidR="00A56342" w:rsidRPr="00FA7E5C" w14:paraId="17A31586"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68F1D6C7"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42</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20C985C9"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16 con Carrera 15, San Victorino,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6E1E334D"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INTERVENIDO</w:t>
            </w:r>
          </w:p>
        </w:tc>
      </w:tr>
      <w:tr w:rsidR="00A56342" w:rsidRPr="00FA7E5C" w14:paraId="003B8B1F"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667D7597"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43</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76151FBB"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15BIS con Calle 18, La Favorita,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236F4F22"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INTERVENIDO</w:t>
            </w:r>
          </w:p>
        </w:tc>
      </w:tr>
      <w:tr w:rsidR="00A56342" w:rsidRPr="00FA7E5C" w14:paraId="269FA973"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0754C77B"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44</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5A757B65"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15 con Calle 22BIS, Santa Fe,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680BC55F"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INTERVENIDO</w:t>
            </w:r>
          </w:p>
        </w:tc>
      </w:tr>
      <w:tr w:rsidR="00A56342" w:rsidRPr="00FA7E5C" w14:paraId="26D8B382"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563475BF"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45</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3595F97A"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4 con Carrera 15, Eduardo Santos,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55909609"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MITIGADO</w:t>
            </w:r>
          </w:p>
        </w:tc>
      </w:tr>
      <w:tr w:rsidR="00A56342" w:rsidRPr="00FA7E5C" w14:paraId="2C1A165E"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626B4CB4"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46</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496A845C"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19 &amp; CALLE 12 MARTIRES</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166497A3"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341D6070"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7FD8D8EE"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47</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3D0718EC"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19A con Avenida Calle 1, Eduardo Santos,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5453F651"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MITIGADO</w:t>
            </w:r>
          </w:p>
        </w:tc>
      </w:tr>
      <w:tr w:rsidR="00A56342" w:rsidRPr="00FA7E5C" w14:paraId="2FDE39AD"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66096873"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48</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11F8F3B9"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19B con Diagonal 19A, Santa Fe,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16AAC1EC"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MITIGADO</w:t>
            </w:r>
          </w:p>
        </w:tc>
      </w:tr>
      <w:tr w:rsidR="00A56342" w:rsidRPr="00FA7E5C" w14:paraId="013639FC"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7B576B80"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49</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63C3FC8B"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22C con Carrera 19A, Santa Fe,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70BC41D3"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INTERVENIDO</w:t>
            </w:r>
          </w:p>
        </w:tc>
      </w:tr>
      <w:tr w:rsidR="00A56342" w:rsidRPr="00FA7E5C" w14:paraId="432D1DEF"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185B359E"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50</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7E24A34C"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12 con Carrera 18, Voto Nacional,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5E998917"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INTERVENIDO</w:t>
            </w:r>
          </w:p>
        </w:tc>
      </w:tr>
      <w:tr w:rsidR="00A56342" w:rsidRPr="00FA7E5C" w14:paraId="70197B3F"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34E226DA"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51</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62F9488B"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3 con Carrera 18A, Eduardo Santos,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1060E40D"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INTERVENIDO</w:t>
            </w:r>
          </w:p>
        </w:tc>
      </w:tr>
      <w:tr w:rsidR="00A56342" w:rsidRPr="00FA7E5C" w14:paraId="69F75E80"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1C9A0664"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52</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5BF3F062"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18 con Avenida Calle 6, La Estanzuela,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3859D970"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MITIGADO</w:t>
            </w:r>
          </w:p>
        </w:tc>
      </w:tr>
      <w:tr w:rsidR="00A56342" w:rsidRPr="00FA7E5C" w14:paraId="6AFB37AA"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51F132E9"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53</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2D3AE964"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20 &amp; CARRERA 18 MARTIRES</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48186583"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7D4207D9"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4293763C"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54</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2E2BB0D8"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22C con Carrera 18B, Santa Fe,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5D2C0829"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MITIGADO</w:t>
            </w:r>
          </w:p>
        </w:tc>
      </w:tr>
      <w:tr w:rsidR="00A56342" w:rsidRPr="00FA7E5C" w14:paraId="2E2B2B48"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693412CE"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55</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0DC25629"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18B con Calle 4ABIS, La Estanzuela,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737016E4"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MITIGADO</w:t>
            </w:r>
          </w:p>
        </w:tc>
      </w:tr>
      <w:tr w:rsidR="00A56342" w:rsidRPr="00FA7E5C" w14:paraId="5E389380"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492825C6"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56</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243DF4BF"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3B con Carrera 18A, Eduardo Santos,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77E318BA"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MITIGADO</w:t>
            </w:r>
          </w:p>
        </w:tc>
      </w:tr>
      <w:tr w:rsidR="00A56342" w:rsidRPr="00FA7E5C" w14:paraId="4A218DB8"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3B7F8020"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57</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2563114F" w14:textId="75630248"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17 &amp; CALLE 19</w:t>
            </w:r>
            <w:r w:rsidR="00C5679F">
              <w:rPr>
                <w:rFonts w:ascii="Tahoma" w:eastAsia="Times New Roman" w:hAnsi="Tahoma" w:cs="Tahoma"/>
                <w:color w:val="000000"/>
                <w:sz w:val="20"/>
                <w:szCs w:val="20"/>
                <w:lang w:eastAsia="es-CO"/>
              </w:rPr>
              <w:t>ª</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649BDAB0"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56F77751"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0446A862"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58</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25B67798"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24 con Carrera 17, Santa Fe,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6416BA57"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MITIGADO</w:t>
            </w:r>
          </w:p>
        </w:tc>
      </w:tr>
      <w:tr w:rsidR="00A56342" w:rsidRPr="00FA7E5C" w14:paraId="6D96D6CF"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6EA944DA"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lastRenderedPageBreak/>
              <w:t>59</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6EC344A5"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21 con Calle 17, El Listón,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542D6C0B"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MITIGADO</w:t>
            </w:r>
          </w:p>
        </w:tc>
      </w:tr>
      <w:tr w:rsidR="00A56342" w:rsidRPr="00FA7E5C" w14:paraId="62727307"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4EBBA3DB"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60</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0F89EEB0"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Transversal 20 con Calle 2, El Vergel,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39969F85"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MITIGADO</w:t>
            </w:r>
          </w:p>
        </w:tc>
      </w:tr>
      <w:tr w:rsidR="00A56342" w:rsidRPr="00FA7E5C" w14:paraId="78861D89"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5BB3B8D8"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61</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18C7267D"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TRANSVERSAL 20 &amp; CALLE 2B MARTIRES</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2B1C5218"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118CFDAF"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4C280129"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62</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35C16D6B"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Transversal 20 con Calle 3, Eduardo Santos,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588F6E72"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INTERVENIDO</w:t>
            </w:r>
          </w:p>
        </w:tc>
      </w:tr>
      <w:tr w:rsidR="00A56342" w:rsidRPr="00FA7E5C" w14:paraId="760AE20E"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68ECD61F"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63</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60DF6243"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20 con Calle 4B, El Progreso,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74C99FF8"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INTERVENIDO</w:t>
            </w:r>
          </w:p>
        </w:tc>
      </w:tr>
      <w:tr w:rsidR="00A56342" w:rsidRPr="00FA7E5C" w14:paraId="638E267D"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1A8F21C2"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64</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000ECDE5"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2 con Carrera 23, El Vergel,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52FD896E"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INTERVENIDO</w:t>
            </w:r>
          </w:p>
        </w:tc>
      </w:tr>
      <w:tr w:rsidR="00A56342" w:rsidRPr="00FA7E5C" w14:paraId="6E84ED87"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5F67759B"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65</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1F17A03D"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2</w:t>
            </w:r>
            <w:r>
              <w:rPr>
                <w:rFonts w:ascii="Tahoma" w:eastAsia="Times New Roman" w:hAnsi="Tahoma" w:cs="Tahoma"/>
                <w:color w:val="000000"/>
                <w:sz w:val="20"/>
                <w:szCs w:val="20"/>
                <w:lang w:eastAsia="es-CO"/>
              </w:rPr>
              <w:t>1 con Calle 1H, El Vergel, Los</w:t>
            </w:r>
            <w:r w:rsidRPr="00FA7E5C">
              <w:rPr>
                <w:rFonts w:ascii="Tahoma" w:eastAsia="Times New Roman" w:hAnsi="Tahoma" w:cs="Tahoma"/>
                <w:color w:val="000000"/>
                <w:sz w:val="20"/>
                <w:szCs w:val="20"/>
                <w:lang w:eastAsia="es-CO"/>
              </w:rPr>
              <w:t xml:space="preserve">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686B1156"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MITIGADO</w:t>
            </w:r>
          </w:p>
        </w:tc>
      </w:tr>
      <w:tr w:rsidR="00A56342" w:rsidRPr="00FA7E5C" w14:paraId="4B0F6FB0"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7C993359"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66</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1C53DF56"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21 con Calle 4B, El Progreso,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58AB9F69"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INTERVENIDO</w:t>
            </w:r>
          </w:p>
        </w:tc>
      </w:tr>
      <w:tr w:rsidR="00A56342" w:rsidRPr="00FA7E5C" w14:paraId="2A884150"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2A3C8609"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67</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6EEECB9A"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25A con Calle 1G, Santa Isabel,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5A05C5F5"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MITIGADO</w:t>
            </w:r>
          </w:p>
        </w:tc>
      </w:tr>
      <w:tr w:rsidR="00A56342" w:rsidRPr="00FA7E5C" w14:paraId="65F72F05"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483E76D3"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68</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1F61518C"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3 con Carrera 29, Veraguas,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738239FA"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INTERVENIDO</w:t>
            </w:r>
          </w:p>
        </w:tc>
      </w:tr>
      <w:tr w:rsidR="00A56342" w:rsidRPr="00FA7E5C" w14:paraId="7203A08E"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56D3AEC1"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69</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11E3F716"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AVENIDA CARACAS &amp; CALLE 6</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718AB9B7"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2B9282ED"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10336A30"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70</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1F7D7DFE"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25A con Calle 10, Ricaurte,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2C5748D9"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MITIGADO</w:t>
            </w:r>
          </w:p>
        </w:tc>
      </w:tr>
      <w:tr w:rsidR="00A56342" w:rsidRPr="00FA7E5C" w14:paraId="273964AC"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2EB58CA0"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71</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05E09764"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26A con Calle 12, Ricaurte,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141C92D3"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INTERVENIDO</w:t>
            </w:r>
          </w:p>
        </w:tc>
      </w:tr>
      <w:tr w:rsidR="00A56342" w:rsidRPr="00FA7E5C" w14:paraId="5A79B4DA"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5FD7E0EA"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72</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77DC6751"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9 con Carrera 28, Ricaurte,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5D74875C"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INTERVENIDO</w:t>
            </w:r>
          </w:p>
        </w:tc>
      </w:tr>
      <w:tr w:rsidR="00A56342" w:rsidRPr="00FA7E5C" w14:paraId="6BF290DE"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0A1C06A2"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73</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70373CDB"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16 16 09, La Favorita,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12268CC1"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MITIGADO</w:t>
            </w:r>
          </w:p>
        </w:tc>
      </w:tr>
      <w:tr w:rsidR="00A56342" w:rsidRPr="00FA7E5C" w14:paraId="6E60B68C"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53AC7CCC"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74</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1B3C8A88"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AVENIDA CARACAS &amp; AVENIDA DE LA HORTUA</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7C9B56DF"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191C0F61"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0F481DB6"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75</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5CA8848A"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21 con Calle 1D, Eduardo Santos,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47F18F87"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MITIGADO</w:t>
            </w:r>
          </w:p>
        </w:tc>
      </w:tr>
      <w:tr w:rsidR="00A56342" w:rsidRPr="00FA7E5C" w14:paraId="1B76CD1C"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6486ADD7"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76</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1DC7F463"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Avenida Caracas con Calle 17, La Favorita,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1AF7474B"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INTERVENIDO</w:t>
            </w:r>
          </w:p>
        </w:tc>
      </w:tr>
      <w:tr w:rsidR="00A56342" w:rsidRPr="00FA7E5C" w14:paraId="7F2E2D56"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37A75BE0"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77</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2A7C7CC3"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16 con Calle 18, La Favorita,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04CB1D42"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INTERVENIDO</w:t>
            </w:r>
          </w:p>
        </w:tc>
      </w:tr>
      <w:tr w:rsidR="00A56342" w:rsidRPr="00FA7E5C" w14:paraId="7D2900A5"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298E3D92"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78</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50DCD14C"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Carrera 16 con Calle 20, La Favorita,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4256207C"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INTERVENIDO</w:t>
            </w:r>
          </w:p>
        </w:tc>
      </w:tr>
      <w:tr w:rsidR="00A56342" w:rsidRPr="00FA7E5C" w14:paraId="7E56F2E9"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290AC4B6"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79</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1D293CE1"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AVENIDA CARACAS &amp; CALLE 22</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52115782"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Crítico</w:t>
            </w:r>
          </w:p>
        </w:tc>
      </w:tr>
      <w:tr w:rsidR="00A56342" w:rsidRPr="00FA7E5C" w14:paraId="5E651B99" w14:textId="77777777" w:rsidTr="00D67781">
        <w:trPr>
          <w:trHeight w:val="283"/>
          <w:jc w:val="center"/>
        </w:trPr>
        <w:tc>
          <w:tcPr>
            <w:tcW w:w="735" w:type="dxa"/>
            <w:tcBorders>
              <w:top w:val="single" w:sz="4" w:space="0" w:color="auto"/>
              <w:left w:val="single" w:sz="4" w:space="0" w:color="auto"/>
              <w:bottom w:val="single" w:sz="4" w:space="0" w:color="auto"/>
              <w:right w:val="single" w:sz="4" w:space="0" w:color="auto"/>
            </w:tcBorders>
            <w:vAlign w:val="center"/>
            <w:hideMark/>
          </w:tcPr>
          <w:p w14:paraId="68B1C8EE" w14:textId="77777777" w:rsidR="00A56342" w:rsidRPr="00FA7E5C" w:rsidRDefault="00A56342" w:rsidP="00842C77">
            <w:pPr>
              <w:spacing w:after="0" w:line="240" w:lineRule="auto"/>
              <w:jc w:val="center"/>
              <w:rPr>
                <w:rFonts w:ascii="Tahoma" w:eastAsia="Times New Roman" w:hAnsi="Tahoma" w:cs="Tahoma"/>
                <w:sz w:val="20"/>
                <w:szCs w:val="20"/>
                <w:lang w:eastAsia="es-CO"/>
              </w:rPr>
            </w:pPr>
            <w:r w:rsidRPr="00FA7E5C">
              <w:rPr>
                <w:rFonts w:ascii="Tahoma" w:eastAsia="Times New Roman" w:hAnsi="Tahoma" w:cs="Tahoma"/>
                <w:sz w:val="20"/>
                <w:szCs w:val="20"/>
                <w:lang w:eastAsia="es-CO"/>
              </w:rPr>
              <w:t>80</w:t>
            </w:r>
          </w:p>
        </w:tc>
        <w:tc>
          <w:tcPr>
            <w:tcW w:w="6641" w:type="dxa"/>
            <w:tcBorders>
              <w:top w:val="single" w:sz="4" w:space="0" w:color="auto"/>
              <w:left w:val="single" w:sz="4" w:space="0" w:color="auto"/>
              <w:bottom w:val="single" w:sz="4" w:space="0" w:color="auto"/>
              <w:right w:val="single" w:sz="4" w:space="0" w:color="auto"/>
            </w:tcBorders>
            <w:noWrap/>
            <w:vAlign w:val="center"/>
            <w:hideMark/>
          </w:tcPr>
          <w:p w14:paraId="07764F12" w14:textId="77777777" w:rsidR="00A56342" w:rsidRPr="00FA7E5C" w:rsidRDefault="00A56342" w:rsidP="00842C77">
            <w:pPr>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Calle 16 con Avenida de los Comuneros, La Estanzuela, Los M</w:t>
            </w:r>
            <w:r>
              <w:rPr>
                <w:rFonts w:ascii="Tahoma" w:eastAsia="Times New Roman" w:hAnsi="Tahoma" w:cs="Tahoma"/>
                <w:color w:val="000000"/>
                <w:sz w:val="20"/>
                <w:szCs w:val="20"/>
                <w:lang w:eastAsia="es-CO"/>
              </w:rPr>
              <w:t>á</w:t>
            </w:r>
            <w:r w:rsidRPr="00FA7E5C">
              <w:rPr>
                <w:rFonts w:ascii="Tahoma" w:eastAsia="Times New Roman" w:hAnsi="Tahoma" w:cs="Tahoma"/>
                <w:color w:val="000000"/>
                <w:sz w:val="20"/>
                <w:szCs w:val="20"/>
                <w:lang w:eastAsia="es-CO"/>
              </w:rPr>
              <w:t>rtires, Bogotá, D.C</w:t>
            </w:r>
          </w:p>
        </w:tc>
        <w:tc>
          <w:tcPr>
            <w:tcW w:w="1703" w:type="dxa"/>
            <w:tcBorders>
              <w:top w:val="single" w:sz="4" w:space="0" w:color="auto"/>
              <w:left w:val="single" w:sz="4" w:space="0" w:color="auto"/>
              <w:bottom w:val="single" w:sz="4" w:space="0" w:color="auto"/>
              <w:right w:val="single" w:sz="4" w:space="0" w:color="auto"/>
            </w:tcBorders>
            <w:noWrap/>
            <w:vAlign w:val="center"/>
            <w:hideMark/>
          </w:tcPr>
          <w:p w14:paraId="60C41BA3" w14:textId="77777777" w:rsidR="00A56342" w:rsidRPr="00FA7E5C" w:rsidRDefault="00A56342" w:rsidP="00842C77">
            <w:pPr>
              <w:keepNext/>
              <w:spacing w:after="0" w:line="240" w:lineRule="auto"/>
              <w:jc w:val="center"/>
              <w:rPr>
                <w:rFonts w:ascii="Tahoma" w:eastAsia="Times New Roman" w:hAnsi="Tahoma" w:cs="Tahoma"/>
                <w:color w:val="000000"/>
                <w:sz w:val="20"/>
                <w:szCs w:val="20"/>
                <w:lang w:eastAsia="es-CO"/>
              </w:rPr>
            </w:pPr>
            <w:r w:rsidRPr="00FA7E5C">
              <w:rPr>
                <w:rFonts w:ascii="Tahoma" w:eastAsia="Times New Roman" w:hAnsi="Tahoma" w:cs="Tahoma"/>
                <w:color w:val="000000"/>
                <w:sz w:val="20"/>
                <w:szCs w:val="20"/>
                <w:lang w:eastAsia="es-CO"/>
              </w:rPr>
              <w:t>MITIGADO</w:t>
            </w:r>
          </w:p>
        </w:tc>
      </w:tr>
    </w:tbl>
    <w:p w14:paraId="7CEB967D" w14:textId="77777777" w:rsidR="000D3B3C" w:rsidRPr="00D67781" w:rsidRDefault="000D3B3C" w:rsidP="000D3B3C">
      <w:pPr>
        <w:pBdr>
          <w:top w:val="nil"/>
          <w:left w:val="nil"/>
          <w:bottom w:val="nil"/>
          <w:right w:val="nil"/>
          <w:between w:val="nil"/>
        </w:pBdr>
        <w:spacing w:after="0" w:line="240" w:lineRule="auto"/>
        <w:jc w:val="center"/>
        <w:rPr>
          <w:rFonts w:eastAsia="Arial" w:cs="Arial"/>
          <w:i/>
          <w:iCs/>
          <w:sz w:val="18"/>
          <w:szCs w:val="18"/>
        </w:rPr>
      </w:pPr>
      <w:r w:rsidRPr="00D67781">
        <w:rPr>
          <w:rFonts w:eastAsia="Arial" w:cs="Arial"/>
          <w:i/>
          <w:iCs/>
          <w:sz w:val="18"/>
          <w:szCs w:val="18"/>
        </w:rPr>
        <w:t>Fuente: Diagnostico localidad de los Mártires LIME S.A. E.S.P.</w:t>
      </w:r>
    </w:p>
    <w:p w14:paraId="29CC4B03" w14:textId="77777777" w:rsidR="000D3B3C" w:rsidRDefault="000D3B3C" w:rsidP="00A56342">
      <w:pPr>
        <w:pBdr>
          <w:top w:val="nil"/>
          <w:left w:val="nil"/>
          <w:bottom w:val="nil"/>
          <w:right w:val="nil"/>
          <w:between w:val="nil"/>
        </w:pBdr>
        <w:spacing w:after="0"/>
        <w:jc w:val="both"/>
        <w:rPr>
          <w:rFonts w:eastAsia="Arial" w:cs="Arial"/>
        </w:rPr>
      </w:pPr>
    </w:p>
    <w:p w14:paraId="22F66772" w14:textId="7D83D5B0" w:rsidR="0068247D" w:rsidRDefault="0068247D" w:rsidP="0068247D">
      <w:pPr>
        <w:pBdr>
          <w:top w:val="nil"/>
          <w:left w:val="nil"/>
          <w:bottom w:val="nil"/>
          <w:right w:val="nil"/>
          <w:between w:val="nil"/>
        </w:pBdr>
        <w:spacing w:after="0"/>
        <w:jc w:val="both"/>
        <w:rPr>
          <w:rFonts w:eastAsia="Arial" w:cs="Arial"/>
        </w:rPr>
      </w:pPr>
      <w:r w:rsidRPr="0068247D">
        <w:rPr>
          <w:rFonts w:eastAsia="Arial" w:cs="Arial"/>
        </w:rPr>
        <w:t xml:space="preserve">La </w:t>
      </w:r>
      <w:proofErr w:type="gramStart"/>
      <w:r w:rsidRPr="0068247D">
        <w:rPr>
          <w:rFonts w:eastAsia="Arial" w:cs="Arial"/>
        </w:rPr>
        <w:t>dinámica  manejada</w:t>
      </w:r>
      <w:proofErr w:type="gramEnd"/>
      <w:r w:rsidRPr="0068247D">
        <w:rPr>
          <w:rFonts w:eastAsia="Arial" w:cs="Arial"/>
        </w:rPr>
        <w:t xml:space="preserve"> en los puntos mencionados en algunos casos son difíciles de tratar ya que se sale de las competencias con las que cuenta el operador de aseo y es  allí  donde se recurre a exponer estos casos ante entidades distritales para que se inicien actividades desde su parte para reducir la problemática, en otros casos se puede manejar desde la gestión social por medio de visitas y jornadas informativas.</w:t>
      </w:r>
    </w:p>
    <w:p w14:paraId="45A9BD3E" w14:textId="77777777" w:rsidR="0041503A" w:rsidRPr="0068247D" w:rsidRDefault="0041503A" w:rsidP="0068247D">
      <w:pPr>
        <w:pBdr>
          <w:top w:val="nil"/>
          <w:left w:val="nil"/>
          <w:bottom w:val="nil"/>
          <w:right w:val="nil"/>
          <w:between w:val="nil"/>
        </w:pBdr>
        <w:spacing w:after="0"/>
        <w:jc w:val="both"/>
        <w:rPr>
          <w:rFonts w:eastAsia="Arial" w:cs="Arial"/>
        </w:rPr>
      </w:pPr>
    </w:p>
    <w:p w14:paraId="61EB372F" w14:textId="77777777" w:rsidR="0068247D" w:rsidRPr="0068247D" w:rsidRDefault="0068247D" w:rsidP="0068247D">
      <w:pPr>
        <w:pBdr>
          <w:top w:val="nil"/>
          <w:left w:val="nil"/>
          <w:bottom w:val="nil"/>
          <w:right w:val="nil"/>
          <w:between w:val="nil"/>
        </w:pBdr>
        <w:spacing w:after="0"/>
        <w:jc w:val="both"/>
        <w:rPr>
          <w:rFonts w:eastAsia="Arial" w:cs="Arial"/>
        </w:rPr>
      </w:pPr>
      <w:r w:rsidRPr="0068247D">
        <w:rPr>
          <w:rFonts w:eastAsia="Arial" w:cs="Arial"/>
        </w:rPr>
        <w:t xml:space="preserve">Las principales causas de dichas problemáticas de acumulación de residuos sólidos, su arrojo clandestino, el traslado de </w:t>
      </w:r>
      <w:proofErr w:type="gramStart"/>
      <w:r w:rsidRPr="0068247D">
        <w:rPr>
          <w:rFonts w:eastAsia="Arial" w:cs="Arial"/>
        </w:rPr>
        <w:t>los mismos</w:t>
      </w:r>
      <w:proofErr w:type="gramEnd"/>
      <w:r w:rsidRPr="0068247D">
        <w:rPr>
          <w:rFonts w:eastAsia="Arial" w:cs="Arial"/>
        </w:rPr>
        <w:t xml:space="preserve"> y hasta su esparcimiento en vía publicas pueden ser por la falta de indisciplina ciudadana en el momento de presentar los residuos sólidos sin tener en cuenta los horarios, frecuencias y lugares de presentación ya establecidos por el operador.</w:t>
      </w:r>
    </w:p>
    <w:p w14:paraId="17B0FDD0" w14:textId="1BCDDA8D" w:rsidR="0068247D" w:rsidRDefault="0068247D" w:rsidP="0068247D">
      <w:pPr>
        <w:pBdr>
          <w:top w:val="nil"/>
          <w:left w:val="nil"/>
          <w:bottom w:val="nil"/>
          <w:right w:val="nil"/>
          <w:between w:val="nil"/>
        </w:pBdr>
        <w:spacing w:after="0"/>
        <w:jc w:val="both"/>
        <w:rPr>
          <w:rFonts w:eastAsia="Arial" w:cs="Arial"/>
        </w:rPr>
      </w:pPr>
      <w:r w:rsidRPr="0068247D">
        <w:rPr>
          <w:rFonts w:eastAsia="Arial" w:cs="Arial"/>
        </w:rPr>
        <w:t xml:space="preserve">De acuerdo con lo anterior, el área de Relaciones con la Comunidad, a partir del inicio del contrato y en cumplimiento </w:t>
      </w:r>
      <w:proofErr w:type="gramStart"/>
      <w:r w:rsidRPr="0068247D">
        <w:rPr>
          <w:rFonts w:eastAsia="Arial" w:cs="Arial"/>
        </w:rPr>
        <w:t>del mismo</w:t>
      </w:r>
      <w:proofErr w:type="gramEnd"/>
      <w:r w:rsidRPr="0068247D">
        <w:rPr>
          <w:rFonts w:eastAsia="Arial" w:cs="Arial"/>
        </w:rPr>
        <w:t xml:space="preserve"> a través del desarrollo del Plan de Gestión Social, ha realizado actividades pedagógicas e informativas acordes a los hallazgos obtenidos por la </w:t>
      </w:r>
      <w:r w:rsidRPr="0068247D">
        <w:rPr>
          <w:rFonts w:eastAsia="Arial" w:cs="Arial"/>
        </w:rPr>
        <w:lastRenderedPageBreak/>
        <w:t xml:space="preserve">operación, con el objetivo de brindar herramientas e información que permite mejorar la gestión de los residuos sólidos por parte de los usuarios de la localidad. </w:t>
      </w:r>
    </w:p>
    <w:p w14:paraId="434623B2" w14:textId="77777777" w:rsidR="0041503A" w:rsidRPr="0068247D" w:rsidRDefault="0041503A" w:rsidP="0068247D">
      <w:pPr>
        <w:pBdr>
          <w:top w:val="nil"/>
          <w:left w:val="nil"/>
          <w:bottom w:val="nil"/>
          <w:right w:val="nil"/>
          <w:between w:val="nil"/>
        </w:pBdr>
        <w:spacing w:after="0"/>
        <w:jc w:val="both"/>
        <w:rPr>
          <w:rFonts w:eastAsia="Arial" w:cs="Arial"/>
        </w:rPr>
      </w:pPr>
    </w:p>
    <w:p w14:paraId="7C05D213" w14:textId="74D440A6" w:rsidR="0068247D" w:rsidRDefault="0068247D" w:rsidP="0068247D">
      <w:pPr>
        <w:pBdr>
          <w:top w:val="nil"/>
          <w:left w:val="nil"/>
          <w:bottom w:val="nil"/>
          <w:right w:val="nil"/>
          <w:between w:val="nil"/>
        </w:pBdr>
        <w:spacing w:after="0"/>
        <w:jc w:val="both"/>
        <w:rPr>
          <w:rFonts w:eastAsia="Arial" w:cs="Arial"/>
        </w:rPr>
      </w:pPr>
      <w:r w:rsidRPr="0068247D">
        <w:rPr>
          <w:rFonts w:eastAsia="Arial" w:cs="Arial"/>
        </w:rPr>
        <w:t>A partir de febrero de 2018 y a la fecha, LIME S.A. E.S.P. ha realizado un total de 332 actividades dirigidas a las diferentes poblaciones que se encuentran en la localidad, entre ellas residentes, comerciantes, multiusuarios y centros educativos; actividades que conforme a las evidencias y hallazgos del concesionario y solicitudes comunitarias y de otras entidades, se ejecutan en las zonas que cuentan con problemáticas de manejo de residuos.</w:t>
      </w:r>
    </w:p>
    <w:p w14:paraId="0DC10A1B" w14:textId="77777777" w:rsidR="0041503A" w:rsidRPr="0068247D" w:rsidRDefault="0041503A" w:rsidP="0068247D">
      <w:pPr>
        <w:pBdr>
          <w:top w:val="nil"/>
          <w:left w:val="nil"/>
          <w:bottom w:val="nil"/>
          <w:right w:val="nil"/>
          <w:between w:val="nil"/>
        </w:pBdr>
        <w:spacing w:after="0"/>
        <w:jc w:val="both"/>
        <w:rPr>
          <w:rFonts w:eastAsia="Arial" w:cs="Arial"/>
        </w:rPr>
      </w:pPr>
    </w:p>
    <w:p w14:paraId="065927FB" w14:textId="41AD7391" w:rsidR="0068247D" w:rsidRDefault="0068247D" w:rsidP="0068247D">
      <w:pPr>
        <w:pBdr>
          <w:top w:val="nil"/>
          <w:left w:val="nil"/>
          <w:bottom w:val="nil"/>
          <w:right w:val="nil"/>
          <w:between w:val="nil"/>
        </w:pBdr>
        <w:spacing w:after="0"/>
        <w:jc w:val="both"/>
        <w:rPr>
          <w:rFonts w:eastAsia="Arial" w:cs="Arial"/>
        </w:rPr>
      </w:pPr>
      <w:r w:rsidRPr="0068247D">
        <w:rPr>
          <w:rFonts w:eastAsia="Arial" w:cs="Arial"/>
        </w:rPr>
        <w:t xml:space="preserve">Las actividades señaladas anteriormente, se desarrollan de manera pedagógica en los diferentes escenarios buscando estimular a los usuarios con respecto al manejo adecuado y responsable de los residuos sólidos ordinarios para su respectiva entrega al servicio público de aseo, la correcta separación en la fuente para el fortalecimiento de los recicladores y recuperadores de residuos aprovechables y respectivamente el servicio complementario de aprovechamiento. </w:t>
      </w:r>
    </w:p>
    <w:p w14:paraId="36375FA3" w14:textId="77777777" w:rsidR="0041503A" w:rsidRPr="0068247D" w:rsidRDefault="0041503A" w:rsidP="0068247D">
      <w:pPr>
        <w:pBdr>
          <w:top w:val="nil"/>
          <w:left w:val="nil"/>
          <w:bottom w:val="nil"/>
          <w:right w:val="nil"/>
          <w:between w:val="nil"/>
        </w:pBdr>
        <w:spacing w:after="0"/>
        <w:jc w:val="both"/>
        <w:rPr>
          <w:rFonts w:eastAsia="Arial" w:cs="Arial"/>
        </w:rPr>
      </w:pPr>
    </w:p>
    <w:p w14:paraId="255F6C14" w14:textId="055CC184" w:rsidR="0068247D" w:rsidRDefault="0068247D" w:rsidP="0068247D">
      <w:pPr>
        <w:pBdr>
          <w:top w:val="nil"/>
          <w:left w:val="nil"/>
          <w:bottom w:val="nil"/>
          <w:right w:val="nil"/>
          <w:between w:val="nil"/>
        </w:pBdr>
        <w:spacing w:after="0"/>
        <w:jc w:val="both"/>
        <w:rPr>
          <w:rFonts w:eastAsia="Arial" w:cs="Arial"/>
        </w:rPr>
      </w:pPr>
      <w:r w:rsidRPr="0068247D">
        <w:rPr>
          <w:rFonts w:eastAsia="Arial" w:cs="Arial"/>
        </w:rPr>
        <w:t xml:space="preserve">Por lo tanto según lo mencionado, la labor de gestión social se lleva a cabo </w:t>
      </w:r>
      <w:proofErr w:type="gramStart"/>
      <w:r w:rsidRPr="0068247D">
        <w:rPr>
          <w:rFonts w:eastAsia="Arial" w:cs="Arial"/>
        </w:rPr>
        <w:t>de  diferentes</w:t>
      </w:r>
      <w:proofErr w:type="gramEnd"/>
      <w:r w:rsidRPr="0068247D">
        <w:rPr>
          <w:rFonts w:eastAsia="Arial" w:cs="Arial"/>
        </w:rPr>
        <w:t xml:space="preserve">  formas dirigidas a las siguientes poblaciones:</w:t>
      </w:r>
    </w:p>
    <w:p w14:paraId="52789B80" w14:textId="77777777" w:rsidR="0041503A" w:rsidRPr="0068247D" w:rsidRDefault="0041503A" w:rsidP="0068247D">
      <w:pPr>
        <w:pBdr>
          <w:top w:val="nil"/>
          <w:left w:val="nil"/>
          <w:bottom w:val="nil"/>
          <w:right w:val="nil"/>
          <w:between w:val="nil"/>
        </w:pBdr>
        <w:spacing w:after="0"/>
        <w:jc w:val="both"/>
        <w:rPr>
          <w:rFonts w:eastAsia="Arial" w:cs="Arial"/>
        </w:rPr>
      </w:pPr>
    </w:p>
    <w:p w14:paraId="58C1EEF7" w14:textId="244A6600" w:rsidR="0068247D" w:rsidRDefault="0068247D" w:rsidP="0041503A">
      <w:pPr>
        <w:pStyle w:val="Prrafodelista"/>
        <w:numPr>
          <w:ilvl w:val="0"/>
          <w:numId w:val="26"/>
        </w:numPr>
        <w:pBdr>
          <w:top w:val="nil"/>
          <w:left w:val="nil"/>
          <w:bottom w:val="nil"/>
          <w:right w:val="nil"/>
          <w:between w:val="nil"/>
        </w:pBdr>
        <w:spacing w:after="0"/>
        <w:jc w:val="both"/>
        <w:rPr>
          <w:rFonts w:eastAsia="Arial" w:cs="Arial"/>
        </w:rPr>
      </w:pPr>
      <w:r w:rsidRPr="0041503A">
        <w:rPr>
          <w:rFonts w:eastAsia="Arial" w:cs="Arial"/>
        </w:rPr>
        <w:t>Residentes: El trabajo realizado con esta población es uno de los más fuertes debido a los diferentes factores que pueden generar indisciplina, como lo es la falta de control por parte de las entidades correspondientes y en algunos casos se puede presentar por la dinámica manejada por los usuarios, tendiendo a presentar sus residuos fuera de los horarios establecidos, la forma de atacar dichos factores negativos es por medio de visitas a usuarios específicos que desde entidades o desde la misma área operativa son reportados por indisciplina o en el caso de no ser solo un usuario si no un sector se elaboran jornadas puerta a puerta entregando la información pertinente en cuanto al manejo de residuos.</w:t>
      </w:r>
    </w:p>
    <w:p w14:paraId="5537CED0" w14:textId="77777777" w:rsidR="004A6386" w:rsidRPr="0041503A" w:rsidRDefault="004A6386" w:rsidP="004A6386">
      <w:pPr>
        <w:pStyle w:val="Prrafodelista"/>
        <w:pBdr>
          <w:top w:val="nil"/>
          <w:left w:val="nil"/>
          <w:bottom w:val="nil"/>
          <w:right w:val="nil"/>
          <w:between w:val="nil"/>
        </w:pBdr>
        <w:spacing w:after="0"/>
        <w:ind w:left="360" w:firstLine="0"/>
        <w:jc w:val="both"/>
        <w:rPr>
          <w:rFonts w:eastAsia="Arial" w:cs="Arial"/>
        </w:rPr>
      </w:pPr>
    </w:p>
    <w:p w14:paraId="22F9604F" w14:textId="5905DFF9" w:rsidR="0068247D" w:rsidRDefault="0068247D" w:rsidP="0041503A">
      <w:pPr>
        <w:pStyle w:val="Prrafodelista"/>
        <w:numPr>
          <w:ilvl w:val="0"/>
          <w:numId w:val="26"/>
        </w:numPr>
        <w:pBdr>
          <w:top w:val="nil"/>
          <w:left w:val="nil"/>
          <w:bottom w:val="nil"/>
          <w:right w:val="nil"/>
          <w:between w:val="nil"/>
        </w:pBdr>
        <w:spacing w:after="0"/>
        <w:jc w:val="both"/>
        <w:rPr>
          <w:rFonts w:eastAsia="Arial" w:cs="Arial"/>
        </w:rPr>
      </w:pPr>
      <w:r w:rsidRPr="0041503A">
        <w:rPr>
          <w:rFonts w:eastAsia="Arial" w:cs="Arial"/>
        </w:rPr>
        <w:t>Comerciantes: La dinámica manejada con los comerciantes es muy similar a la manejada con los residentes y en varias ocasiones se pueden presentar casos en la que podemos encontrar en el sector tanto población residencial como comercial. En el caso de los comerciantes el mayor factor de indisciplina es en cuanto a las dinámicas de horarios laborales manejadas a nivel interno, ya que al no coincidir con los horarios y frecuencias tienden a sacar en el momento que no corresponde.</w:t>
      </w:r>
    </w:p>
    <w:p w14:paraId="516E2833" w14:textId="77777777" w:rsidR="004A6386" w:rsidRPr="004A6386" w:rsidRDefault="004A6386" w:rsidP="004A6386">
      <w:pPr>
        <w:pBdr>
          <w:top w:val="nil"/>
          <w:left w:val="nil"/>
          <w:bottom w:val="nil"/>
          <w:right w:val="nil"/>
          <w:between w:val="nil"/>
        </w:pBdr>
        <w:spacing w:after="0"/>
        <w:ind w:firstLine="0"/>
        <w:jc w:val="both"/>
        <w:rPr>
          <w:rFonts w:eastAsia="Arial" w:cs="Arial"/>
        </w:rPr>
      </w:pPr>
    </w:p>
    <w:p w14:paraId="53F083BA" w14:textId="54396EB0" w:rsidR="0068247D" w:rsidRDefault="0068247D" w:rsidP="0041503A">
      <w:pPr>
        <w:pStyle w:val="Prrafodelista"/>
        <w:numPr>
          <w:ilvl w:val="0"/>
          <w:numId w:val="26"/>
        </w:numPr>
        <w:pBdr>
          <w:top w:val="nil"/>
          <w:left w:val="nil"/>
          <w:bottom w:val="nil"/>
          <w:right w:val="nil"/>
          <w:between w:val="nil"/>
        </w:pBdr>
        <w:spacing w:after="0"/>
        <w:jc w:val="both"/>
        <w:rPr>
          <w:rFonts w:eastAsia="Arial" w:cs="Arial"/>
        </w:rPr>
      </w:pPr>
      <w:r w:rsidRPr="0041503A">
        <w:rPr>
          <w:rFonts w:eastAsia="Arial" w:cs="Arial"/>
        </w:rPr>
        <w:t>Multiusuarios: Estas actividades van encaminadas a poblaciones bajo el régimen de propiedad horizontal, las cuales a veces pueden afectar la operación por sus malas prácticas en cuanto al manejo de residuos por lo que el área de Gestión Social realiza visitas de seguimiento informando sobre la importancia de manejar bien los residuos producidos allí.</w:t>
      </w:r>
    </w:p>
    <w:p w14:paraId="3A582F67" w14:textId="77777777" w:rsidR="004A6386" w:rsidRPr="004A6386" w:rsidRDefault="004A6386" w:rsidP="004A6386">
      <w:pPr>
        <w:pBdr>
          <w:top w:val="nil"/>
          <w:left w:val="nil"/>
          <w:bottom w:val="nil"/>
          <w:right w:val="nil"/>
          <w:between w:val="nil"/>
        </w:pBdr>
        <w:spacing w:after="0"/>
        <w:ind w:firstLine="0"/>
        <w:jc w:val="both"/>
        <w:rPr>
          <w:rFonts w:eastAsia="Arial" w:cs="Arial"/>
        </w:rPr>
      </w:pPr>
    </w:p>
    <w:p w14:paraId="4CFA45EB" w14:textId="353399D3" w:rsidR="0068247D" w:rsidRDefault="0068247D" w:rsidP="0041503A">
      <w:pPr>
        <w:pStyle w:val="Prrafodelista"/>
        <w:numPr>
          <w:ilvl w:val="0"/>
          <w:numId w:val="26"/>
        </w:numPr>
        <w:pBdr>
          <w:top w:val="nil"/>
          <w:left w:val="nil"/>
          <w:bottom w:val="nil"/>
          <w:right w:val="nil"/>
          <w:between w:val="nil"/>
        </w:pBdr>
        <w:spacing w:after="0"/>
        <w:jc w:val="both"/>
        <w:rPr>
          <w:rFonts w:eastAsia="Arial" w:cs="Arial"/>
        </w:rPr>
      </w:pPr>
      <w:r w:rsidRPr="0041503A">
        <w:rPr>
          <w:rFonts w:eastAsia="Arial" w:cs="Arial"/>
        </w:rPr>
        <w:t>Centros Educativos: Principalmente con colegios, escuelas y jardines se trabaja de forma tanto pedagógica como lúdica para lograr transmitir el mensaje de la importancia de dar un manejo responsable de los residuos tanto en la institución, como en zonas públicas y hasta en los propios hogares contribuyendo así a la preservación del medio ambiente y del relleno sanitario.</w:t>
      </w:r>
    </w:p>
    <w:p w14:paraId="6331EAA1" w14:textId="53F104D0" w:rsidR="004A6386" w:rsidRPr="004A6386" w:rsidRDefault="004A6386" w:rsidP="004A6386">
      <w:pPr>
        <w:pBdr>
          <w:top w:val="nil"/>
          <w:left w:val="nil"/>
          <w:bottom w:val="nil"/>
          <w:right w:val="nil"/>
          <w:between w:val="nil"/>
        </w:pBdr>
        <w:spacing w:after="0"/>
        <w:ind w:firstLine="0"/>
        <w:jc w:val="both"/>
        <w:rPr>
          <w:rFonts w:eastAsia="Arial" w:cs="Arial"/>
        </w:rPr>
      </w:pPr>
    </w:p>
    <w:p w14:paraId="38592FEC" w14:textId="37C15AB1" w:rsidR="0068247D" w:rsidRDefault="0068247D" w:rsidP="0041503A">
      <w:pPr>
        <w:pStyle w:val="Prrafodelista"/>
        <w:numPr>
          <w:ilvl w:val="0"/>
          <w:numId w:val="26"/>
        </w:numPr>
        <w:pBdr>
          <w:top w:val="nil"/>
          <w:left w:val="nil"/>
          <w:bottom w:val="nil"/>
          <w:right w:val="nil"/>
          <w:between w:val="nil"/>
        </w:pBdr>
        <w:spacing w:after="0"/>
        <w:jc w:val="both"/>
        <w:rPr>
          <w:rFonts w:eastAsia="Arial" w:cs="Arial"/>
        </w:rPr>
      </w:pPr>
      <w:r w:rsidRPr="0041503A">
        <w:rPr>
          <w:rFonts w:eastAsia="Arial" w:cs="Arial"/>
        </w:rPr>
        <w:t>Adicionalmente se trabaja de manera interinstitucional con otras entidades en espacios de participación con el objetivo de hacer un mayor acercamiento a las comunidades y requerimientos de la localidad.</w:t>
      </w:r>
    </w:p>
    <w:p w14:paraId="7B664401" w14:textId="5181317C" w:rsidR="0041503A" w:rsidRPr="0041503A" w:rsidRDefault="0041503A" w:rsidP="0041503A">
      <w:pPr>
        <w:pStyle w:val="Prrafodelista"/>
        <w:pBdr>
          <w:top w:val="nil"/>
          <w:left w:val="nil"/>
          <w:bottom w:val="nil"/>
          <w:right w:val="nil"/>
          <w:between w:val="nil"/>
        </w:pBdr>
        <w:spacing w:after="0"/>
        <w:ind w:left="360" w:firstLine="0"/>
        <w:jc w:val="both"/>
        <w:rPr>
          <w:rFonts w:eastAsia="Arial" w:cs="Arial"/>
        </w:rPr>
      </w:pPr>
    </w:p>
    <w:p w14:paraId="7CC1A6DB" w14:textId="231EB892" w:rsidR="00D57953" w:rsidRDefault="00486FB0" w:rsidP="00B7737D">
      <w:pPr>
        <w:pBdr>
          <w:top w:val="nil"/>
          <w:left w:val="nil"/>
          <w:bottom w:val="nil"/>
          <w:right w:val="nil"/>
          <w:between w:val="nil"/>
        </w:pBdr>
        <w:spacing w:after="0"/>
        <w:jc w:val="both"/>
        <w:rPr>
          <w:rFonts w:eastAsia="Arial" w:cs="Arial"/>
        </w:rPr>
      </w:pPr>
      <w:r>
        <w:rPr>
          <w:noProof/>
        </w:rPr>
        <mc:AlternateContent>
          <mc:Choice Requires="wps">
            <w:drawing>
              <wp:anchor distT="0" distB="0" distL="114300" distR="114300" simplePos="0" relativeHeight="251702272" behindDoc="0" locked="0" layoutInCell="1" allowOverlap="1" wp14:anchorId="3C175C3C" wp14:editId="4510CB21">
                <wp:simplePos x="0" y="0"/>
                <wp:positionH relativeFrom="column">
                  <wp:posOffset>299720</wp:posOffset>
                </wp:positionH>
                <wp:positionV relativeFrom="paragraph">
                  <wp:posOffset>584835</wp:posOffset>
                </wp:positionV>
                <wp:extent cx="5219700" cy="190500"/>
                <wp:effectExtent l="0" t="0" r="0" b="0"/>
                <wp:wrapTopAndBottom/>
                <wp:docPr id="22" name="Cuadro de texto 22"/>
                <wp:cNvGraphicFramePr/>
                <a:graphic xmlns:a="http://schemas.openxmlformats.org/drawingml/2006/main">
                  <a:graphicData uri="http://schemas.microsoft.com/office/word/2010/wordprocessingShape">
                    <wps:wsp>
                      <wps:cNvSpPr txBox="1"/>
                      <wps:spPr>
                        <a:xfrm>
                          <a:off x="0" y="0"/>
                          <a:ext cx="5219700" cy="190500"/>
                        </a:xfrm>
                        <a:prstGeom prst="rect">
                          <a:avLst/>
                        </a:prstGeom>
                        <a:solidFill>
                          <a:prstClr val="white"/>
                        </a:solidFill>
                        <a:ln>
                          <a:noFill/>
                        </a:ln>
                      </wps:spPr>
                      <wps:txbx>
                        <w:txbxContent>
                          <w:p w14:paraId="1E702525" w14:textId="76E3F2E0" w:rsidR="00ED57B1" w:rsidRPr="00486FB0" w:rsidRDefault="00ED57B1" w:rsidP="00486FB0">
                            <w:pPr>
                              <w:pStyle w:val="Descripcin"/>
                              <w:spacing w:after="0"/>
                              <w:jc w:val="center"/>
                              <w:rPr>
                                <w:rFonts w:eastAsia="Arial" w:cs="Arial"/>
                                <w:noProof/>
                                <w:color w:val="auto"/>
                              </w:rPr>
                            </w:pPr>
                            <w:bookmarkStart w:id="33" w:name="_Toc57227490"/>
                            <w:r w:rsidRPr="00486FB0">
                              <w:rPr>
                                <w:color w:val="auto"/>
                              </w:rPr>
                              <w:t xml:space="preserve">Tabla </w:t>
                            </w:r>
                            <w:r w:rsidRPr="00486FB0">
                              <w:rPr>
                                <w:color w:val="auto"/>
                              </w:rPr>
                              <w:fldChar w:fldCharType="begin"/>
                            </w:r>
                            <w:r w:rsidRPr="00486FB0">
                              <w:rPr>
                                <w:color w:val="auto"/>
                              </w:rPr>
                              <w:instrText xml:space="preserve"> SEQ Tabla \* ARABIC </w:instrText>
                            </w:r>
                            <w:r w:rsidRPr="00486FB0">
                              <w:rPr>
                                <w:color w:val="auto"/>
                              </w:rPr>
                              <w:fldChar w:fldCharType="separate"/>
                            </w:r>
                            <w:r>
                              <w:rPr>
                                <w:noProof/>
                                <w:color w:val="auto"/>
                              </w:rPr>
                              <w:t>5</w:t>
                            </w:r>
                            <w:r w:rsidRPr="00486FB0">
                              <w:rPr>
                                <w:color w:val="auto"/>
                              </w:rPr>
                              <w:fldChar w:fldCharType="end"/>
                            </w:r>
                            <w:r w:rsidRPr="00486FB0">
                              <w:rPr>
                                <w:color w:val="auto"/>
                              </w:rPr>
                              <w:t>.Número de actividades  realizadas mensualmente por el área de gestión social.</w:t>
                            </w:r>
                            <w:bookmarkEnd w:id="3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75C3C" id="Cuadro de texto 22" o:spid="_x0000_s1036" type="#_x0000_t202" style="position:absolute;left:0;text-align:left;margin-left:23.6pt;margin-top:46.05pt;width:411pt;height: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" stroked="f">
                <v:textbox inset="0,0,0,0">
                  <w:txbxContent>
                    <w:p w14:paraId="1E702525" w14:textId="76E3F2E0" w:rsidR="00ED57B1" w:rsidRPr="00486FB0" w:rsidRDefault="00ED57B1" w:rsidP="00486FB0">
                      <w:pPr>
                        <w:pStyle w:val="Descripcin"/>
                        <w:spacing w:after="0"/>
                        <w:jc w:val="center"/>
                        <w:rPr>
                          <w:rFonts w:eastAsia="Arial" w:cs="Arial"/>
                          <w:noProof/>
                          <w:color w:val="auto"/>
                        </w:rPr>
                      </w:pPr>
                      <w:bookmarkStart w:id="36" w:name="_Toc57227490"/>
                      <w:r w:rsidRPr="00486FB0">
                        <w:rPr>
                          <w:color w:val="auto"/>
                        </w:rPr>
                        <w:t xml:space="preserve">Tabla </w:t>
                      </w:r>
                      <w:r w:rsidRPr="00486FB0">
                        <w:rPr>
                          <w:color w:val="auto"/>
                        </w:rPr>
                        <w:fldChar w:fldCharType="begin"/>
                      </w:r>
                      <w:r w:rsidRPr="00486FB0">
                        <w:rPr>
                          <w:color w:val="auto"/>
                        </w:rPr>
                        <w:instrText xml:space="preserve"> SEQ Tabla \* ARABIC </w:instrText>
                      </w:r>
                      <w:r w:rsidRPr="00486FB0">
                        <w:rPr>
                          <w:color w:val="auto"/>
                        </w:rPr>
                        <w:fldChar w:fldCharType="separate"/>
                      </w:r>
                      <w:r>
                        <w:rPr>
                          <w:noProof/>
                          <w:color w:val="auto"/>
                        </w:rPr>
                        <w:t>5</w:t>
                      </w:r>
                      <w:r w:rsidRPr="00486FB0">
                        <w:rPr>
                          <w:color w:val="auto"/>
                        </w:rPr>
                        <w:fldChar w:fldCharType="end"/>
                      </w:r>
                      <w:r w:rsidRPr="00486FB0">
                        <w:rPr>
                          <w:color w:val="auto"/>
                        </w:rPr>
                        <w:t>.Número de actividades  realizadas mensualmente por el área de gestión social.</w:t>
                      </w:r>
                      <w:bookmarkEnd w:id="36"/>
                    </w:p>
                  </w:txbxContent>
                </v:textbox>
                <w10:wrap type="topAndBottom"/>
              </v:shape>
            </w:pict>
          </mc:Fallback>
        </mc:AlternateContent>
      </w:r>
      <w:r w:rsidR="0068247D" w:rsidRPr="0068247D">
        <w:rPr>
          <w:rFonts w:eastAsia="Arial" w:cs="Arial"/>
        </w:rPr>
        <w:t xml:space="preserve">A continuación se relaciona en la tabla el número de </w:t>
      </w:r>
      <w:proofErr w:type="gramStart"/>
      <w:r w:rsidR="0068247D" w:rsidRPr="0068247D">
        <w:rPr>
          <w:rFonts w:eastAsia="Arial" w:cs="Arial"/>
        </w:rPr>
        <w:t>actividades  realizadas</w:t>
      </w:r>
      <w:proofErr w:type="gramEnd"/>
      <w:r w:rsidR="0068247D" w:rsidRPr="0068247D">
        <w:rPr>
          <w:rFonts w:eastAsia="Arial" w:cs="Arial"/>
        </w:rPr>
        <w:t xml:space="preserve"> mensualmente por el área de gestión social con la comunidad de la localidad de los </w:t>
      </w:r>
      <w:r w:rsidR="003A0EA6">
        <w:rPr>
          <w:rFonts w:eastAsia="Arial" w:cs="Arial"/>
        </w:rPr>
        <w:t>M</w:t>
      </w:r>
      <w:r w:rsidR="0068247D" w:rsidRPr="0068247D">
        <w:rPr>
          <w:rFonts w:eastAsia="Arial" w:cs="Arial"/>
        </w:rPr>
        <w:t>ártires</w:t>
      </w:r>
      <w:r w:rsidR="003A0EA6">
        <w:rPr>
          <w:rFonts w:eastAsia="Arial" w:cs="Arial"/>
        </w:rPr>
        <w:t>:</w:t>
      </w:r>
    </w:p>
    <w:p w14:paraId="1D2EC2B8" w14:textId="6C9B8337" w:rsidR="00486FB0" w:rsidRDefault="0055487B" w:rsidP="00486FB0">
      <w:pPr>
        <w:pBdr>
          <w:top w:val="nil"/>
          <w:left w:val="nil"/>
          <w:bottom w:val="nil"/>
          <w:right w:val="nil"/>
          <w:between w:val="nil"/>
        </w:pBdr>
        <w:spacing w:after="0" w:line="240" w:lineRule="auto"/>
        <w:ind w:firstLine="142"/>
        <w:jc w:val="center"/>
        <w:rPr>
          <w:rFonts w:eastAsia="Arial" w:cs="Arial"/>
          <w:sz w:val="16"/>
          <w:szCs w:val="16"/>
        </w:rPr>
      </w:pPr>
      <w:r>
        <w:rPr>
          <w:rFonts w:eastAsia="Arial" w:cs="Arial"/>
          <w:noProof/>
        </w:rPr>
        <w:drawing>
          <wp:anchor distT="0" distB="0" distL="114300" distR="114300" simplePos="0" relativeHeight="251671552" behindDoc="0" locked="0" layoutInCell="1" allowOverlap="1" wp14:anchorId="3F6B65CB" wp14:editId="4C53E0CB">
            <wp:simplePos x="0" y="0"/>
            <wp:positionH relativeFrom="margin">
              <wp:posOffset>1090295</wp:posOffset>
            </wp:positionH>
            <wp:positionV relativeFrom="margin">
              <wp:posOffset>4852670</wp:posOffset>
            </wp:positionV>
            <wp:extent cx="3638550" cy="2997835"/>
            <wp:effectExtent l="0" t="0" r="0" b="0"/>
            <wp:wrapTopAndBottom/>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4">
                      <a:extLst>
                        <a:ext uri="{28A0092B-C50C-407E-A947-70E740481C1C}">
                          <a14:useLocalDpi xmlns:a14="http://schemas.microsoft.com/office/drawing/2010/main" val="0"/>
                        </a:ext>
                      </a:extLst>
                    </a:blip>
                    <a:srcRect/>
                    <a:stretch/>
                  </pic:blipFill>
                  <pic:spPr bwMode="auto">
                    <a:xfrm>
                      <a:off x="0" y="0"/>
                      <a:ext cx="3638550" cy="2997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A4C696" w14:textId="11E02EDB" w:rsidR="00486FB0" w:rsidRPr="0055487B" w:rsidRDefault="00486FB0" w:rsidP="00486FB0">
      <w:pPr>
        <w:pBdr>
          <w:top w:val="nil"/>
          <w:left w:val="nil"/>
          <w:bottom w:val="nil"/>
          <w:right w:val="nil"/>
          <w:between w:val="nil"/>
        </w:pBdr>
        <w:spacing w:after="0" w:line="240" w:lineRule="auto"/>
        <w:ind w:firstLine="0"/>
        <w:jc w:val="center"/>
        <w:rPr>
          <w:rFonts w:eastAsia="Arial" w:cs="Arial"/>
          <w:i/>
          <w:iCs/>
          <w:sz w:val="18"/>
          <w:szCs w:val="18"/>
        </w:rPr>
      </w:pPr>
      <w:r w:rsidRPr="0055487B">
        <w:rPr>
          <w:rFonts w:eastAsia="Arial" w:cs="Arial"/>
          <w:i/>
          <w:iCs/>
          <w:sz w:val="18"/>
          <w:szCs w:val="18"/>
        </w:rPr>
        <w:t>Fuente: Reporte Intervenciones del Jardín Botánico, Subdirección Técnica operativa, en localidad Los mártires 2016-2020</w:t>
      </w:r>
    </w:p>
    <w:p w14:paraId="69166783" w14:textId="6A4EB6FC" w:rsidR="00B7737D" w:rsidRDefault="00B7737D" w:rsidP="000D3B3C">
      <w:pPr>
        <w:pBdr>
          <w:top w:val="nil"/>
          <w:left w:val="nil"/>
          <w:bottom w:val="nil"/>
          <w:right w:val="nil"/>
          <w:between w:val="nil"/>
        </w:pBdr>
        <w:spacing w:after="0" w:line="240" w:lineRule="auto"/>
        <w:ind w:firstLine="142"/>
        <w:jc w:val="center"/>
        <w:rPr>
          <w:rFonts w:eastAsia="Arial" w:cs="Arial"/>
          <w:sz w:val="16"/>
          <w:szCs w:val="16"/>
        </w:rPr>
      </w:pPr>
    </w:p>
    <w:p w14:paraId="68A41733" w14:textId="46AB11D5" w:rsidR="00F00CBE" w:rsidRPr="004B2EEA" w:rsidRDefault="004B2EEA" w:rsidP="004B2EEA">
      <w:pPr>
        <w:pStyle w:val="Ttulo2"/>
      </w:pPr>
      <w:bookmarkStart w:id="34" w:name="_Toc57238619"/>
      <w:r>
        <w:lastRenderedPageBreak/>
        <w:t xml:space="preserve">2.2 </w:t>
      </w:r>
      <w:r w:rsidR="006371D8" w:rsidRPr="0069715A">
        <w:rPr>
          <w:color w:val="000000"/>
        </w:rPr>
        <w:t>Aire</w:t>
      </w:r>
      <w:bookmarkEnd w:id="34"/>
    </w:p>
    <w:p w14:paraId="21B83D01" w14:textId="6886FE5D" w:rsidR="0087017A" w:rsidRPr="0069715A" w:rsidRDefault="00F00CBE" w:rsidP="004B2EEA">
      <w:pPr>
        <w:pStyle w:val="Ttulo3"/>
      </w:pPr>
      <w:bookmarkStart w:id="35" w:name="_Toc57238620"/>
      <w:r w:rsidRPr="0069715A">
        <w:t xml:space="preserve">2.2.1 </w:t>
      </w:r>
      <w:r w:rsidR="006371D8" w:rsidRPr="0069715A">
        <w:t>Calidad del aire.</w:t>
      </w:r>
      <w:bookmarkEnd w:id="35"/>
    </w:p>
    <w:p w14:paraId="65DABCE9" w14:textId="748CCF20" w:rsidR="009F1FEF" w:rsidRDefault="009F1FEF" w:rsidP="00F64DF9">
      <w:pPr>
        <w:pBdr>
          <w:top w:val="nil"/>
          <w:left w:val="nil"/>
          <w:bottom w:val="nil"/>
          <w:right w:val="nil"/>
          <w:between w:val="nil"/>
        </w:pBdr>
        <w:spacing w:after="0"/>
        <w:ind w:left="284"/>
        <w:jc w:val="both"/>
      </w:pPr>
      <w:r>
        <w:t xml:space="preserve">La calidad del aire es un factor determinante en la calidad de vida de la población, especialmente en las grandes urbes, debido a los efectos que tiene sobre la salud humana. El material particulado y los gases contaminantes presentan riesgos para la salud humana, ya que, al ingresar al tracto respiratorio, producen daños en los tejidos y órganos, por eso un indicador ambiental estratégico de ciudad, y el seguimiento y la gestión para mejorar su comportamiento hacen parte de la labor de la autoridad ambiental urbana. </w:t>
      </w:r>
    </w:p>
    <w:p w14:paraId="50C1412D" w14:textId="77777777" w:rsidR="009F1FEF" w:rsidRDefault="009F1FEF" w:rsidP="00F64DF9">
      <w:pPr>
        <w:pBdr>
          <w:top w:val="nil"/>
          <w:left w:val="nil"/>
          <w:bottom w:val="nil"/>
          <w:right w:val="nil"/>
          <w:between w:val="nil"/>
        </w:pBdr>
        <w:spacing w:after="0"/>
        <w:ind w:left="284"/>
        <w:jc w:val="both"/>
      </w:pPr>
    </w:p>
    <w:p w14:paraId="4D2917C0" w14:textId="77777777" w:rsidR="009F1FEF" w:rsidRDefault="009F1FEF" w:rsidP="00F64DF9">
      <w:pPr>
        <w:pBdr>
          <w:top w:val="nil"/>
          <w:left w:val="nil"/>
          <w:bottom w:val="nil"/>
          <w:right w:val="nil"/>
          <w:between w:val="nil"/>
        </w:pBdr>
        <w:spacing w:after="0"/>
        <w:ind w:left="284"/>
        <w:jc w:val="both"/>
      </w:pPr>
      <w:r>
        <w:t xml:space="preserve">En el Distrito Capital, la Secretaría Distrital de Ambiente (SDA) ha establecido la Red de Monitoreo de Calidad del Aire de Bogotá D.C. (RMCAB) que evalúa el cumplimiento de los estándares de calidad del aire de la ciudad definidos por el Ministerio de Ambiente y Desarrollo Sostenible mediante 14 estaciones que monitorean las concentraciones de material particulado (PM10, PM2.5, PST), de gases contaminantes (SO2, NO2, CO, O3) y los parámetros meteorológicos de precipitaciones, vientos, temperatura, radiación solar y humedad relativa. Si bien no existe una estación medidora de gases contaminantes para cada localidad, se puede evaluar la calidad del aire por sectores de la ciudad ya que las estaciones que componen la red de monitoreo están distribuidas de tal forma que pueda determinarse la calidad del aire en toda la ciudad. </w:t>
      </w:r>
    </w:p>
    <w:p w14:paraId="3D02EE8B" w14:textId="77777777" w:rsidR="009F1FEF" w:rsidRDefault="009F1FEF" w:rsidP="00F64DF9">
      <w:pPr>
        <w:pBdr>
          <w:top w:val="nil"/>
          <w:left w:val="nil"/>
          <w:bottom w:val="nil"/>
          <w:right w:val="nil"/>
          <w:between w:val="nil"/>
        </w:pBdr>
        <w:spacing w:after="0"/>
        <w:ind w:left="284"/>
        <w:jc w:val="both"/>
      </w:pPr>
    </w:p>
    <w:p w14:paraId="6DF06621" w14:textId="77777777" w:rsidR="00F64DF9" w:rsidRDefault="009F1FEF" w:rsidP="00F64DF9">
      <w:pPr>
        <w:pBdr>
          <w:top w:val="nil"/>
          <w:left w:val="nil"/>
          <w:bottom w:val="nil"/>
          <w:right w:val="nil"/>
          <w:between w:val="nil"/>
        </w:pBdr>
        <w:spacing w:after="0"/>
        <w:ind w:left="284"/>
        <w:jc w:val="both"/>
      </w:pPr>
      <w:r>
        <w:t>Entre los contaminantes más complejos presentes en el aire de las grandes ciudades está el material particulado, compuesto por partículas líquidas o sólidas de origen natural resultantes de procesos como la erosión, las erupciones volcánicas y los incendios, y de origen antropogénico, provenientes del uso de combustibles fósiles en la industria y el transporte, de actividades agrícolas como la fertilización y almacenamiento de granos, entre otros. Este material por tener un tamaño inferior a 10 micras puede ingresar al tracto respiratorio perjudicar la salud humana. Según la reglamentación colombiana, a través de la Resolución 610 de 2010 del Ministerio de Ambiente, Vivienda y Desarrollo Territorial, se especifica que el límite anual de concentración de PM</w:t>
      </w:r>
      <w:r w:rsidR="00F00CBE" w:rsidRPr="00F00CBE">
        <w:rPr>
          <w:vertAlign w:val="subscript"/>
        </w:rPr>
        <w:t>10</w:t>
      </w:r>
      <w:r>
        <w:t xml:space="preserve"> es de 50 μ/m</w:t>
      </w:r>
      <w:proofErr w:type="gramStart"/>
      <w:r>
        <w:t>3 .</w:t>
      </w:r>
      <w:proofErr w:type="gramEnd"/>
      <w:r>
        <w:t xml:space="preserve"> Es necesario precisar que los temas de calidad del aire no se monitorean en términos de la división </w:t>
      </w:r>
      <w:proofErr w:type="gramStart"/>
      <w:r>
        <w:t>político administrativa</w:t>
      </w:r>
      <w:proofErr w:type="gramEnd"/>
      <w:r>
        <w:t xml:space="preserve"> de la ciudad por localidades, y por ello, las cifras que se presentan son solo una aproximación al tema que registra por su importancia pese a las limitaciones de información señaladas.</w:t>
      </w:r>
    </w:p>
    <w:p w14:paraId="7F71021E" w14:textId="77777777" w:rsidR="00F64DF9" w:rsidRDefault="00F64DF9" w:rsidP="00F64DF9">
      <w:pPr>
        <w:pBdr>
          <w:top w:val="nil"/>
          <w:left w:val="nil"/>
          <w:bottom w:val="nil"/>
          <w:right w:val="nil"/>
          <w:between w:val="nil"/>
        </w:pBdr>
        <w:spacing w:after="0"/>
        <w:ind w:left="284"/>
        <w:jc w:val="both"/>
      </w:pPr>
    </w:p>
    <w:p w14:paraId="6C7520B1" w14:textId="5BF04972" w:rsidR="00F00CBE" w:rsidRDefault="00F00CBE" w:rsidP="00F64DF9">
      <w:pPr>
        <w:pBdr>
          <w:top w:val="nil"/>
          <w:left w:val="nil"/>
          <w:bottom w:val="nil"/>
          <w:right w:val="nil"/>
          <w:between w:val="nil"/>
        </w:pBdr>
        <w:spacing w:after="0"/>
        <w:ind w:left="284"/>
        <w:jc w:val="both"/>
      </w:pPr>
      <w:r>
        <w:lastRenderedPageBreak/>
        <w:t>A continuación, se muestran estadísticas para el material particulado PM</w:t>
      </w:r>
      <w:r w:rsidRPr="00F00CBE">
        <w:rPr>
          <w:vertAlign w:val="subscript"/>
        </w:rPr>
        <w:t>10</w:t>
      </w:r>
      <w:r>
        <w:t>.</w:t>
      </w:r>
      <w:r w:rsidR="00B269C1">
        <w:t xml:space="preserve"> Tomadas del Informe Anual de Calidad del Aire (Secretaría Distrital del Medio Ambiente). </w:t>
      </w:r>
      <w:r w:rsidR="00F64DF9">
        <w:t xml:space="preserve"> En el año 2018 y 2019 </w:t>
      </w:r>
      <w:r w:rsidR="002208E2">
        <w:t>respectivamente</w:t>
      </w:r>
      <w:r w:rsidR="00F64DF9">
        <w:t>:</w:t>
      </w:r>
    </w:p>
    <w:p w14:paraId="2C3E8377" w14:textId="77777777" w:rsidR="003B1DAD" w:rsidRDefault="003B1DAD" w:rsidP="00F64DF9">
      <w:pPr>
        <w:pBdr>
          <w:top w:val="nil"/>
          <w:left w:val="nil"/>
          <w:bottom w:val="nil"/>
          <w:right w:val="nil"/>
          <w:between w:val="nil"/>
        </w:pBdr>
        <w:spacing w:after="0"/>
        <w:ind w:left="284"/>
        <w:jc w:val="both"/>
      </w:pPr>
    </w:p>
    <w:p w14:paraId="36C77EFF" w14:textId="5282DB18" w:rsidR="00486FB0" w:rsidRDefault="00486FB0" w:rsidP="00F64DF9">
      <w:pPr>
        <w:pBdr>
          <w:top w:val="nil"/>
          <w:left w:val="nil"/>
          <w:bottom w:val="nil"/>
          <w:right w:val="nil"/>
          <w:between w:val="nil"/>
        </w:pBdr>
        <w:spacing w:after="0"/>
        <w:ind w:left="284"/>
        <w:jc w:val="both"/>
      </w:pPr>
      <w:r>
        <w:rPr>
          <w:noProof/>
        </w:rPr>
        <mc:AlternateContent>
          <mc:Choice Requires="wps">
            <w:drawing>
              <wp:anchor distT="0" distB="0" distL="114300" distR="114300" simplePos="0" relativeHeight="251704320" behindDoc="0" locked="0" layoutInCell="1" allowOverlap="1" wp14:anchorId="588410F7" wp14:editId="5DEC986C">
                <wp:simplePos x="0" y="0"/>
                <wp:positionH relativeFrom="column">
                  <wp:posOffset>283210</wp:posOffset>
                </wp:positionH>
                <wp:positionV relativeFrom="paragraph">
                  <wp:posOffset>171450</wp:posOffset>
                </wp:positionV>
                <wp:extent cx="5574030" cy="149860"/>
                <wp:effectExtent l="0" t="0" r="7620" b="2540"/>
                <wp:wrapSquare wrapText="bothSides"/>
                <wp:docPr id="24" name="Cuadro de texto 24"/>
                <wp:cNvGraphicFramePr/>
                <a:graphic xmlns:a="http://schemas.openxmlformats.org/drawingml/2006/main">
                  <a:graphicData uri="http://schemas.microsoft.com/office/word/2010/wordprocessingShape">
                    <wps:wsp>
                      <wps:cNvSpPr txBox="1"/>
                      <wps:spPr>
                        <a:xfrm>
                          <a:off x="0" y="0"/>
                          <a:ext cx="5574030" cy="149860"/>
                        </a:xfrm>
                        <a:prstGeom prst="rect">
                          <a:avLst/>
                        </a:prstGeom>
                        <a:solidFill>
                          <a:prstClr val="white"/>
                        </a:solidFill>
                        <a:ln>
                          <a:noFill/>
                        </a:ln>
                      </wps:spPr>
                      <wps:txbx>
                        <w:txbxContent>
                          <w:p w14:paraId="1CC8DCDE" w14:textId="564B47E8" w:rsidR="00ED57B1" w:rsidRPr="00486FB0" w:rsidRDefault="00ED57B1" w:rsidP="00486FB0">
                            <w:pPr>
                              <w:pStyle w:val="Descripcin"/>
                              <w:jc w:val="center"/>
                              <w:rPr>
                                <w:noProof/>
                                <w:color w:val="auto"/>
                              </w:rPr>
                            </w:pPr>
                            <w:bookmarkStart w:id="36" w:name="_Toc57227491"/>
                            <w:r w:rsidRPr="00486FB0">
                              <w:rPr>
                                <w:color w:val="auto"/>
                              </w:rPr>
                              <w:t xml:space="preserve">Tabla </w:t>
                            </w:r>
                            <w:r w:rsidRPr="00486FB0">
                              <w:rPr>
                                <w:color w:val="auto"/>
                              </w:rPr>
                              <w:fldChar w:fldCharType="begin"/>
                            </w:r>
                            <w:r w:rsidRPr="00486FB0">
                              <w:rPr>
                                <w:color w:val="auto"/>
                              </w:rPr>
                              <w:instrText xml:space="preserve"> SEQ Tabla \* ARABIC </w:instrText>
                            </w:r>
                            <w:r w:rsidRPr="00486FB0">
                              <w:rPr>
                                <w:color w:val="auto"/>
                              </w:rPr>
                              <w:fldChar w:fldCharType="separate"/>
                            </w:r>
                            <w:r>
                              <w:rPr>
                                <w:noProof/>
                                <w:color w:val="auto"/>
                              </w:rPr>
                              <w:t>6</w:t>
                            </w:r>
                            <w:r w:rsidRPr="00486FB0">
                              <w:rPr>
                                <w:color w:val="auto"/>
                              </w:rPr>
                              <w:fldChar w:fldCharType="end"/>
                            </w:r>
                            <w:r w:rsidRPr="00486FB0">
                              <w:rPr>
                                <w:color w:val="auto"/>
                              </w:rPr>
                              <w:t>.Estadísticas de las concentraciones anuales de PM10 registradas en el año 2018.</w:t>
                            </w:r>
                            <w:bookmarkEnd w:id="3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8410F7" id="Cuadro de texto 24" o:spid="_x0000_s1037" type="#_x0000_t202" style="position:absolute;left:0;text-align:left;margin-left:22.3pt;margin-top:13.5pt;width:438.9pt;height:11.8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" stroked="f">
                <v:textbox inset="0,0,0,0">
                  <w:txbxContent>
                    <w:p w14:paraId="1CC8DCDE" w14:textId="564B47E8" w:rsidR="00ED57B1" w:rsidRPr="00486FB0" w:rsidRDefault="00ED57B1" w:rsidP="00486FB0">
                      <w:pPr>
                        <w:pStyle w:val="Descripcin"/>
                        <w:jc w:val="center"/>
                        <w:rPr>
                          <w:noProof/>
                          <w:color w:val="auto"/>
                        </w:rPr>
                      </w:pPr>
                      <w:bookmarkStart w:id="40" w:name="_Toc57227491"/>
                      <w:r w:rsidRPr="00486FB0">
                        <w:rPr>
                          <w:color w:val="auto"/>
                        </w:rPr>
                        <w:t xml:space="preserve">Tabla </w:t>
                      </w:r>
                      <w:r w:rsidRPr="00486FB0">
                        <w:rPr>
                          <w:color w:val="auto"/>
                        </w:rPr>
                        <w:fldChar w:fldCharType="begin"/>
                      </w:r>
                      <w:r w:rsidRPr="00486FB0">
                        <w:rPr>
                          <w:color w:val="auto"/>
                        </w:rPr>
                        <w:instrText xml:space="preserve"> SEQ Tabla \* ARABIC </w:instrText>
                      </w:r>
                      <w:r w:rsidRPr="00486FB0">
                        <w:rPr>
                          <w:color w:val="auto"/>
                        </w:rPr>
                        <w:fldChar w:fldCharType="separate"/>
                      </w:r>
                      <w:r>
                        <w:rPr>
                          <w:noProof/>
                          <w:color w:val="auto"/>
                        </w:rPr>
                        <w:t>6</w:t>
                      </w:r>
                      <w:r w:rsidRPr="00486FB0">
                        <w:rPr>
                          <w:color w:val="auto"/>
                        </w:rPr>
                        <w:fldChar w:fldCharType="end"/>
                      </w:r>
                      <w:r w:rsidRPr="00486FB0">
                        <w:rPr>
                          <w:color w:val="auto"/>
                        </w:rPr>
                        <w:t>.Estadísticas de las concentraciones anuales de PM10 registradas en el año 2018.</w:t>
                      </w:r>
                      <w:bookmarkEnd w:id="40"/>
                    </w:p>
                  </w:txbxContent>
                </v:textbox>
                <w10:wrap type="square"/>
              </v:shape>
            </w:pict>
          </mc:Fallback>
        </mc:AlternateContent>
      </w:r>
      <w:r>
        <w:t>2018</w:t>
      </w:r>
    </w:p>
    <w:p w14:paraId="371243E5" w14:textId="77777777" w:rsidR="00486FB0" w:rsidRDefault="00486FB0" w:rsidP="00486FB0">
      <w:pPr>
        <w:pBdr>
          <w:top w:val="nil"/>
          <w:left w:val="nil"/>
          <w:bottom w:val="nil"/>
          <w:right w:val="nil"/>
          <w:between w:val="nil"/>
        </w:pBdr>
        <w:spacing w:after="0"/>
        <w:ind w:left="284"/>
        <w:jc w:val="both"/>
        <w:rPr>
          <w:sz w:val="18"/>
          <w:szCs w:val="18"/>
        </w:rPr>
      </w:pPr>
    </w:p>
    <w:p w14:paraId="1D66EC35" w14:textId="7BDF0D68" w:rsidR="00E521B7" w:rsidRPr="00486FB0" w:rsidRDefault="00486FB0" w:rsidP="00486FB0">
      <w:pPr>
        <w:pBdr>
          <w:top w:val="nil"/>
          <w:left w:val="nil"/>
          <w:bottom w:val="nil"/>
          <w:right w:val="nil"/>
          <w:between w:val="nil"/>
        </w:pBdr>
        <w:spacing w:after="0"/>
        <w:ind w:left="284"/>
        <w:jc w:val="center"/>
        <w:rPr>
          <w:i/>
          <w:iCs/>
          <w:sz w:val="18"/>
          <w:szCs w:val="18"/>
        </w:rPr>
      </w:pPr>
      <w:r w:rsidRPr="00486FB0">
        <w:rPr>
          <w:i/>
          <w:iCs/>
          <w:noProof/>
        </w:rPr>
        <w:drawing>
          <wp:anchor distT="0" distB="0" distL="114300" distR="114300" simplePos="0" relativeHeight="251672576" behindDoc="0" locked="0" layoutInCell="1" allowOverlap="1" wp14:anchorId="678D01F5" wp14:editId="5A82D2BE">
            <wp:simplePos x="0" y="0"/>
            <wp:positionH relativeFrom="margin">
              <wp:posOffset>175260</wp:posOffset>
            </wp:positionH>
            <wp:positionV relativeFrom="margin">
              <wp:posOffset>1398996</wp:posOffset>
            </wp:positionV>
            <wp:extent cx="5574030" cy="3218180"/>
            <wp:effectExtent l="0" t="0" r="7620" b="1270"/>
            <wp:wrapSquare wrapText="bothSides"/>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74030" cy="3218180"/>
                    </a:xfrm>
                    <a:prstGeom prst="rect">
                      <a:avLst/>
                    </a:prstGeom>
                    <a:noFill/>
                    <a:ln>
                      <a:noFill/>
                    </a:ln>
                  </pic:spPr>
                </pic:pic>
              </a:graphicData>
            </a:graphic>
          </wp:anchor>
        </w:drawing>
      </w:r>
      <w:bookmarkStart w:id="37" w:name="_Hlk56529852"/>
      <w:bookmarkStart w:id="38" w:name="_Hlk56531660"/>
      <w:r w:rsidR="00E521B7" w:rsidRPr="00486FB0">
        <w:rPr>
          <w:i/>
          <w:iCs/>
          <w:sz w:val="18"/>
          <w:szCs w:val="18"/>
        </w:rPr>
        <w:t>Fuente: Informe Anual de Calidad del Aire 2018</w:t>
      </w:r>
    </w:p>
    <w:bookmarkEnd w:id="37"/>
    <w:bookmarkEnd w:id="38"/>
    <w:p w14:paraId="4FC66371" w14:textId="77777777" w:rsidR="002208E2" w:rsidRDefault="002208E2" w:rsidP="00F64DF9">
      <w:pPr>
        <w:pBdr>
          <w:top w:val="nil"/>
          <w:left w:val="nil"/>
          <w:bottom w:val="nil"/>
          <w:right w:val="nil"/>
          <w:between w:val="nil"/>
        </w:pBdr>
        <w:spacing w:after="0"/>
        <w:ind w:left="284"/>
        <w:jc w:val="both"/>
      </w:pPr>
    </w:p>
    <w:p w14:paraId="1B9E2116" w14:textId="59BB4036" w:rsidR="001F0706" w:rsidRDefault="001F0706" w:rsidP="00F64DF9">
      <w:pPr>
        <w:pBdr>
          <w:top w:val="nil"/>
          <w:left w:val="nil"/>
          <w:bottom w:val="nil"/>
          <w:right w:val="nil"/>
          <w:between w:val="nil"/>
        </w:pBdr>
        <w:spacing w:after="0"/>
        <w:ind w:left="284"/>
        <w:jc w:val="both"/>
      </w:pPr>
      <w:r>
        <w:t xml:space="preserve">En la </w:t>
      </w:r>
      <w:proofErr w:type="gramStart"/>
      <w:r>
        <w:t>Tabla  se</w:t>
      </w:r>
      <w:proofErr w:type="gramEnd"/>
      <w:r>
        <w:t xml:space="preserve"> observan los promedios anuales de PM10 registrados en las estaciones que tuvieron una representatividad temporal mayor al 75% durante el 2017, además de incluir las estadísticas respecto a promedios, valores máximos diarios y excedencias a la norma. Solamente la estación Carvajal-Sevillana excedió el valor de la norma, con 69 µg/m</w:t>
      </w:r>
      <w:proofErr w:type="gramStart"/>
      <w:r>
        <w:t>3 ,</w:t>
      </w:r>
      <w:proofErr w:type="gramEnd"/>
      <w:r>
        <w:t xml:space="preserve"> siendo este el mayor promedio de los registrados durante el 2018, mientras que la estación San Cristóbal registró el promedio más bajo, con 26 µg/m3 . El valor del nivel máximo permisible para PM10 en resolución temporal diaria fue modificado a partir de julio de 2018, por lo cual se indican de manera independiente las excedencias para el primer y segundo semestre de 2018. En el primer semestre se registraron solamente 7 excedencias en la estación Carvajal-Sevillana, mientras que en el segundo semestre se registraron en total 61 excedencias, siendo la misma estación la que registró el número más alto de valores sobre la norma.</w:t>
      </w:r>
    </w:p>
    <w:p w14:paraId="7F9B3D11" w14:textId="0182B322" w:rsidR="002208E2" w:rsidRDefault="002208E2" w:rsidP="00F64DF9">
      <w:pPr>
        <w:pBdr>
          <w:top w:val="nil"/>
          <w:left w:val="nil"/>
          <w:bottom w:val="nil"/>
          <w:right w:val="nil"/>
          <w:between w:val="nil"/>
        </w:pBdr>
        <w:spacing w:after="0"/>
        <w:ind w:left="284"/>
        <w:jc w:val="both"/>
      </w:pPr>
    </w:p>
    <w:p w14:paraId="6A103FBE" w14:textId="77777777" w:rsidR="005F7A1A" w:rsidRDefault="002208E2" w:rsidP="005F7A1A">
      <w:pPr>
        <w:keepNext/>
        <w:pBdr>
          <w:top w:val="nil"/>
          <w:left w:val="nil"/>
          <w:bottom w:val="nil"/>
          <w:right w:val="nil"/>
          <w:between w:val="nil"/>
        </w:pBdr>
        <w:spacing w:after="0"/>
        <w:ind w:left="284"/>
        <w:jc w:val="center"/>
      </w:pPr>
      <w:r w:rsidRPr="00F0065F">
        <w:rPr>
          <w:noProof/>
          <w:sz w:val="18"/>
          <w:szCs w:val="18"/>
        </w:rPr>
        <w:lastRenderedPageBreak/>
        <w:drawing>
          <wp:inline distT="0" distB="0" distL="0" distR="0" wp14:anchorId="1A403F94" wp14:editId="47D4954E">
            <wp:extent cx="4556015" cy="5871411"/>
            <wp:effectExtent l="0" t="0" r="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83338" cy="5906623"/>
                    </a:xfrm>
                    <a:prstGeom prst="rect">
                      <a:avLst/>
                    </a:prstGeom>
                    <a:noFill/>
                    <a:ln>
                      <a:noFill/>
                    </a:ln>
                  </pic:spPr>
                </pic:pic>
              </a:graphicData>
            </a:graphic>
          </wp:inline>
        </w:drawing>
      </w:r>
    </w:p>
    <w:p w14:paraId="23D9AC37" w14:textId="5DE6F27F" w:rsidR="00795C1D" w:rsidRPr="005F7A1A" w:rsidRDefault="005F7A1A" w:rsidP="005F7A1A">
      <w:pPr>
        <w:pStyle w:val="Descripcin"/>
        <w:spacing w:after="0"/>
        <w:jc w:val="center"/>
        <w:rPr>
          <w:color w:val="auto"/>
        </w:rPr>
      </w:pPr>
      <w:bookmarkStart w:id="39" w:name="_Toc57223722"/>
      <w:r w:rsidRPr="005F7A1A">
        <w:rPr>
          <w:color w:val="auto"/>
        </w:rPr>
        <w:t xml:space="preserve">Ilustración </w:t>
      </w:r>
      <w:r w:rsidRPr="005F7A1A">
        <w:rPr>
          <w:color w:val="auto"/>
        </w:rPr>
        <w:fldChar w:fldCharType="begin"/>
      </w:r>
      <w:r w:rsidRPr="005F7A1A">
        <w:rPr>
          <w:color w:val="auto"/>
        </w:rPr>
        <w:instrText xml:space="preserve"> SEQ Ilustración \* ARABIC </w:instrText>
      </w:r>
      <w:r w:rsidRPr="005F7A1A">
        <w:rPr>
          <w:color w:val="auto"/>
        </w:rPr>
        <w:fldChar w:fldCharType="separate"/>
      </w:r>
      <w:r w:rsidR="00DC2EB1">
        <w:rPr>
          <w:noProof/>
          <w:color w:val="auto"/>
        </w:rPr>
        <w:t>4</w:t>
      </w:r>
      <w:r w:rsidRPr="005F7A1A">
        <w:rPr>
          <w:color w:val="auto"/>
        </w:rPr>
        <w:fldChar w:fldCharType="end"/>
      </w:r>
      <w:r w:rsidRPr="005F7A1A">
        <w:rPr>
          <w:color w:val="auto"/>
        </w:rPr>
        <w:t>.  Distribución espacial de los p promedios anuales de PM10 del año 2018 con base en el método de interpolación Kriging</w:t>
      </w:r>
      <w:bookmarkEnd w:id="39"/>
    </w:p>
    <w:p w14:paraId="3D093127" w14:textId="045C2E9C" w:rsidR="00E521B7" w:rsidRPr="00795C1D" w:rsidRDefault="00E521B7" w:rsidP="00795C1D">
      <w:pPr>
        <w:pBdr>
          <w:top w:val="nil"/>
          <w:left w:val="nil"/>
          <w:bottom w:val="nil"/>
          <w:right w:val="nil"/>
          <w:between w:val="nil"/>
        </w:pBdr>
        <w:spacing w:after="0" w:line="240" w:lineRule="auto"/>
        <w:ind w:left="284"/>
        <w:jc w:val="center"/>
        <w:rPr>
          <w:i/>
          <w:iCs/>
          <w:sz w:val="18"/>
          <w:szCs w:val="18"/>
        </w:rPr>
      </w:pPr>
      <w:r w:rsidRPr="00795C1D">
        <w:rPr>
          <w:i/>
          <w:iCs/>
          <w:sz w:val="18"/>
          <w:szCs w:val="18"/>
        </w:rPr>
        <w:t>Fuente: Informe Anual de Calidad del Aire 2018</w:t>
      </w:r>
    </w:p>
    <w:p w14:paraId="05111131" w14:textId="77777777" w:rsidR="00F0065F" w:rsidRDefault="00F0065F" w:rsidP="00F64DF9">
      <w:pPr>
        <w:pBdr>
          <w:top w:val="nil"/>
          <w:left w:val="nil"/>
          <w:bottom w:val="nil"/>
          <w:right w:val="nil"/>
          <w:between w:val="nil"/>
        </w:pBdr>
        <w:spacing w:after="0"/>
        <w:ind w:left="284"/>
        <w:jc w:val="both"/>
      </w:pPr>
    </w:p>
    <w:p w14:paraId="65C2AED6" w14:textId="77777777" w:rsidR="00F816B4" w:rsidRDefault="002208E2" w:rsidP="00F816B4">
      <w:pPr>
        <w:pBdr>
          <w:top w:val="nil"/>
          <w:left w:val="nil"/>
          <w:bottom w:val="nil"/>
          <w:right w:val="nil"/>
          <w:between w:val="nil"/>
        </w:pBdr>
        <w:spacing w:after="0"/>
        <w:ind w:left="284"/>
        <w:jc w:val="both"/>
      </w:pPr>
      <w:r>
        <w:t>Según esta representación, las concentraciones más altas se presentaron en la zona suroccidental de la ciudad, en la intersección de las localidades Kennedy, Bosa, Ciudad Bolívar y Tunjuelito, con un rango de concentraciones entre 57 y 69 µg/m</w:t>
      </w:r>
      <w:proofErr w:type="gramStart"/>
      <w:r>
        <w:t>3 .</w:t>
      </w:r>
      <w:proofErr w:type="gramEnd"/>
      <w:r>
        <w:t xml:space="preserve"> La zona con menores concentraciones de PM10 abarca las localidades San Cristóbal, Santa Fé, La Candelaria, parte de Teusaquillo y Barrios Unidos en el centro de la ciudad, y el parea cercana a la estación Guaymaral en el norte. Como se ha visto en años anteriores, la zona suroccidental aun registra los niveles más altos de contaminación, por posible influencia de las emisiones de fuentes en </w:t>
      </w:r>
      <w:r>
        <w:lastRenderedPageBreak/>
        <w:t>el área, transporte regional por la zona sur de la ciudad y transporte de contaminantes por dirección de los vientos este-oeste</w:t>
      </w:r>
    </w:p>
    <w:p w14:paraId="237F3011" w14:textId="1F1FF625" w:rsidR="0087017A" w:rsidRDefault="006371D8" w:rsidP="00F816B4">
      <w:pPr>
        <w:pBdr>
          <w:top w:val="nil"/>
          <w:left w:val="nil"/>
          <w:bottom w:val="nil"/>
          <w:right w:val="nil"/>
          <w:between w:val="nil"/>
        </w:pBdr>
        <w:spacing w:after="0"/>
        <w:ind w:left="284"/>
        <w:jc w:val="both"/>
        <w:rPr>
          <w:rFonts w:eastAsia="Arial" w:cs="Arial"/>
        </w:rPr>
      </w:pPr>
      <w:r>
        <w:rPr>
          <w:rFonts w:eastAsia="Arial" w:cs="Arial"/>
        </w:rPr>
        <w:t>2019</w:t>
      </w:r>
    </w:p>
    <w:p w14:paraId="087CC442" w14:textId="081FBAB4" w:rsidR="003B1DAD" w:rsidRDefault="003B1DAD" w:rsidP="003B1DAD">
      <w:pPr>
        <w:pStyle w:val="Descripcin"/>
        <w:keepNext/>
        <w:jc w:val="center"/>
      </w:pPr>
      <w:bookmarkStart w:id="40" w:name="_Toc57227492"/>
      <w:r w:rsidRPr="003B1DAD">
        <w:rPr>
          <w:color w:val="auto"/>
        </w:rPr>
        <w:t xml:space="preserve">Tabla </w:t>
      </w:r>
      <w:r w:rsidRPr="003B1DAD">
        <w:rPr>
          <w:color w:val="auto"/>
        </w:rPr>
        <w:fldChar w:fldCharType="begin"/>
      </w:r>
      <w:r w:rsidRPr="003B1DAD">
        <w:rPr>
          <w:color w:val="auto"/>
        </w:rPr>
        <w:instrText xml:space="preserve"> SEQ Tabla \* ARABIC </w:instrText>
      </w:r>
      <w:r w:rsidRPr="003B1DAD">
        <w:rPr>
          <w:color w:val="auto"/>
        </w:rPr>
        <w:fldChar w:fldCharType="separate"/>
      </w:r>
      <w:r w:rsidR="00C37D33">
        <w:rPr>
          <w:noProof/>
          <w:color w:val="auto"/>
        </w:rPr>
        <w:t>7</w:t>
      </w:r>
      <w:r w:rsidRPr="003B1DAD">
        <w:rPr>
          <w:color w:val="auto"/>
        </w:rPr>
        <w:fldChar w:fldCharType="end"/>
      </w:r>
      <w:r w:rsidRPr="003B1DAD">
        <w:rPr>
          <w:color w:val="auto"/>
        </w:rPr>
        <w:t>.Estadísticas de las concentraciones anuales de PM10 registradas en el año 2019</w:t>
      </w:r>
      <w:bookmarkEnd w:id="40"/>
    </w:p>
    <w:p w14:paraId="28329B7F" w14:textId="52D8C0D4" w:rsidR="00B269C1" w:rsidRPr="00F816B4" w:rsidRDefault="00B269C1" w:rsidP="00CD3F53">
      <w:pPr>
        <w:pBdr>
          <w:top w:val="nil"/>
          <w:left w:val="nil"/>
          <w:bottom w:val="nil"/>
          <w:right w:val="nil"/>
          <w:between w:val="nil"/>
        </w:pBdr>
        <w:spacing w:after="0"/>
        <w:ind w:left="284"/>
        <w:jc w:val="center"/>
      </w:pPr>
      <w:r>
        <w:rPr>
          <w:noProof/>
        </w:rPr>
        <w:drawing>
          <wp:inline distT="0" distB="0" distL="0" distR="0" wp14:anchorId="201D8878" wp14:editId="71DCB13F">
            <wp:extent cx="5080436" cy="3433102"/>
            <wp:effectExtent l="0" t="0" r="635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85470" cy="3436504"/>
                    </a:xfrm>
                    <a:prstGeom prst="rect">
                      <a:avLst/>
                    </a:prstGeom>
                    <a:noFill/>
                    <a:ln>
                      <a:noFill/>
                    </a:ln>
                  </pic:spPr>
                </pic:pic>
              </a:graphicData>
            </a:graphic>
          </wp:inline>
        </w:drawing>
      </w:r>
    </w:p>
    <w:p w14:paraId="1DF1EBB0" w14:textId="12E1AC94" w:rsidR="00E521B7" w:rsidRPr="003B1DAD" w:rsidRDefault="00E521B7" w:rsidP="00E521B7">
      <w:pPr>
        <w:pBdr>
          <w:top w:val="nil"/>
          <w:left w:val="nil"/>
          <w:bottom w:val="nil"/>
          <w:right w:val="nil"/>
          <w:between w:val="nil"/>
        </w:pBdr>
        <w:spacing w:after="0" w:line="240" w:lineRule="auto"/>
        <w:ind w:left="567"/>
        <w:jc w:val="center"/>
        <w:rPr>
          <w:i/>
          <w:iCs/>
          <w:sz w:val="18"/>
          <w:szCs w:val="18"/>
        </w:rPr>
      </w:pPr>
      <w:r w:rsidRPr="003B1DAD">
        <w:rPr>
          <w:i/>
          <w:iCs/>
          <w:sz w:val="18"/>
          <w:szCs w:val="18"/>
        </w:rPr>
        <w:t>Fuente: Informe Anual de Calidad del Aire 2019</w:t>
      </w:r>
    </w:p>
    <w:p w14:paraId="6163C9F3" w14:textId="77777777" w:rsidR="0087017A" w:rsidRDefault="0087017A" w:rsidP="00C61BA6">
      <w:pPr>
        <w:pBdr>
          <w:top w:val="nil"/>
          <w:left w:val="nil"/>
          <w:bottom w:val="nil"/>
          <w:right w:val="nil"/>
          <w:between w:val="nil"/>
        </w:pBdr>
        <w:spacing w:after="0"/>
        <w:ind w:left="1440"/>
        <w:jc w:val="both"/>
        <w:rPr>
          <w:rFonts w:eastAsia="Arial" w:cs="Arial"/>
        </w:rPr>
      </w:pPr>
    </w:p>
    <w:p w14:paraId="3EA11909" w14:textId="2084B492" w:rsidR="0087017A" w:rsidRDefault="006371D8" w:rsidP="00B269C1">
      <w:pPr>
        <w:pBdr>
          <w:top w:val="nil"/>
          <w:left w:val="nil"/>
          <w:bottom w:val="nil"/>
          <w:right w:val="nil"/>
          <w:between w:val="nil"/>
        </w:pBdr>
        <w:spacing w:after="0"/>
        <w:ind w:left="284"/>
        <w:jc w:val="both"/>
        <w:rPr>
          <w:rFonts w:eastAsia="Arial" w:cs="Arial"/>
        </w:rPr>
      </w:pPr>
      <w:r>
        <w:rPr>
          <w:rFonts w:eastAsia="Arial" w:cs="Arial"/>
        </w:rPr>
        <w:t>En la Tabla</w:t>
      </w:r>
      <w:r w:rsidR="00E521B7">
        <w:rPr>
          <w:rFonts w:eastAsia="Arial" w:cs="Arial"/>
        </w:rPr>
        <w:t xml:space="preserve"> </w:t>
      </w:r>
      <w:proofErr w:type="gramStart"/>
      <w:r w:rsidR="00B7737D">
        <w:rPr>
          <w:rFonts w:eastAsia="Arial" w:cs="Arial"/>
        </w:rPr>
        <w:t>7</w:t>
      </w:r>
      <w:r>
        <w:rPr>
          <w:rFonts w:eastAsia="Arial" w:cs="Arial"/>
        </w:rPr>
        <w:t xml:space="preserve">  se</w:t>
      </w:r>
      <w:proofErr w:type="gramEnd"/>
      <w:r>
        <w:rPr>
          <w:rFonts w:eastAsia="Arial" w:cs="Arial"/>
        </w:rPr>
        <w:t xml:space="preserve"> observan los promedios anuales de PM10 registrados por las estaciones de la RMCAB durante el 2019, además de incluir las estadísticas respecto a promedios, valores máximos diarios y excedencias a la norma. Solamente la estación Carvajal-Sevillana excedió el valor de la norma anual, con 56.0 µg/m</w:t>
      </w:r>
      <w:proofErr w:type="gramStart"/>
      <w:r>
        <w:rPr>
          <w:rFonts w:eastAsia="Arial" w:cs="Arial"/>
        </w:rPr>
        <w:t>3 ,</w:t>
      </w:r>
      <w:proofErr w:type="gramEnd"/>
      <w:r>
        <w:rPr>
          <w:rFonts w:eastAsia="Arial" w:cs="Arial"/>
        </w:rPr>
        <w:t xml:space="preserve"> siendo además la concentración más alta registrada en la ciudad; por otro lado, las estaciones Guaymaral y Usaquén, ubicadas en la zona norte de la ciudad, registraron las concentraciones más bajas, con 24.7 µg/m3 . </w:t>
      </w:r>
    </w:p>
    <w:p w14:paraId="454A318E" w14:textId="77777777" w:rsidR="0087017A" w:rsidRDefault="0087017A" w:rsidP="00C61BA6">
      <w:pPr>
        <w:pBdr>
          <w:top w:val="nil"/>
          <w:left w:val="nil"/>
          <w:bottom w:val="nil"/>
          <w:right w:val="nil"/>
          <w:between w:val="nil"/>
        </w:pBdr>
        <w:spacing w:after="0"/>
        <w:ind w:left="1440"/>
        <w:jc w:val="both"/>
        <w:rPr>
          <w:rFonts w:eastAsia="Arial" w:cs="Arial"/>
        </w:rPr>
      </w:pPr>
    </w:p>
    <w:p w14:paraId="4A5BF2C5" w14:textId="67ED67B0" w:rsidR="0087017A" w:rsidRDefault="006371D8" w:rsidP="007434B7">
      <w:pPr>
        <w:pBdr>
          <w:top w:val="nil"/>
          <w:left w:val="nil"/>
          <w:bottom w:val="nil"/>
          <w:right w:val="nil"/>
          <w:between w:val="nil"/>
        </w:pBdr>
        <w:spacing w:after="0"/>
        <w:ind w:left="284"/>
        <w:jc w:val="both"/>
        <w:rPr>
          <w:rFonts w:eastAsia="Arial" w:cs="Arial"/>
        </w:rPr>
      </w:pPr>
      <w:r>
        <w:rPr>
          <w:rFonts w:eastAsia="Arial" w:cs="Arial"/>
        </w:rPr>
        <w:t>Con respecto a las excedencias 24h de las concentraciones diarias, la estación Carvajal-Sevillana registró 39 datos sobre la norma, seguida de la estación Móvil 7ma con 22 excedencias, y Puente Aranda con 14 excedencias.</w:t>
      </w:r>
    </w:p>
    <w:p w14:paraId="19AFB484" w14:textId="04ACDCCF" w:rsidR="00CD3F53" w:rsidRDefault="00CD3F53" w:rsidP="007434B7">
      <w:pPr>
        <w:pBdr>
          <w:top w:val="nil"/>
          <w:left w:val="nil"/>
          <w:bottom w:val="nil"/>
          <w:right w:val="nil"/>
          <w:between w:val="nil"/>
        </w:pBdr>
        <w:spacing w:after="0"/>
        <w:ind w:left="284"/>
        <w:jc w:val="both"/>
        <w:rPr>
          <w:rFonts w:eastAsia="Arial" w:cs="Arial"/>
        </w:rPr>
      </w:pPr>
    </w:p>
    <w:p w14:paraId="769FB528" w14:textId="1924678F" w:rsidR="00CD3F53" w:rsidRDefault="00CD3F53" w:rsidP="007434B7">
      <w:pPr>
        <w:pBdr>
          <w:top w:val="nil"/>
          <w:left w:val="nil"/>
          <w:bottom w:val="nil"/>
          <w:right w:val="nil"/>
          <w:between w:val="nil"/>
        </w:pBdr>
        <w:spacing w:after="0"/>
        <w:ind w:left="284"/>
        <w:jc w:val="both"/>
      </w:pPr>
      <w:r>
        <w:t>De acuerdo a esta representación, las concentraciones más altas se presentaron en la zona suroccidental de la ciudad, en la intersección de las localidades Kennedy, Bosa, Ciudad Bolívar y Tunjuelito, con un rango de concentraciones entre 50 y 57 µg/m</w:t>
      </w:r>
      <w:proofErr w:type="gramStart"/>
      <w:r>
        <w:t>3 ,</w:t>
      </w:r>
      <w:proofErr w:type="gramEnd"/>
      <w:r>
        <w:t xml:space="preserve"> aunque también la zona </w:t>
      </w:r>
      <w:r>
        <w:lastRenderedPageBreak/>
        <w:t>de influencia de la estación Móvil 7ma registra concentraciones del mismo orden. Las menores concentraciones se registraron en la zona nororiental, con concentraciones menores a 30 µg/m</w:t>
      </w:r>
      <w:proofErr w:type="gramStart"/>
      <w:r>
        <w:t>3 .</w:t>
      </w:r>
      <w:proofErr w:type="gramEnd"/>
      <w:r>
        <w:t xml:space="preserve"> En la mayoría del año, se observa la influencia de los vientos provenientes del oriente, que contribuyen a dispersar la contaminación, hacia el occidente de la ciudad, aunque la zona suroccidental también se encuentra influenciada por las concentraciones provenientes de las regiones aledañas a la ciudad.</w:t>
      </w:r>
    </w:p>
    <w:p w14:paraId="24A5925E" w14:textId="77777777" w:rsidR="00CD3F53" w:rsidRDefault="00CD3F53" w:rsidP="007434B7">
      <w:pPr>
        <w:pBdr>
          <w:top w:val="nil"/>
          <w:left w:val="nil"/>
          <w:bottom w:val="nil"/>
          <w:right w:val="nil"/>
          <w:between w:val="nil"/>
        </w:pBdr>
        <w:spacing w:after="0"/>
        <w:ind w:left="284"/>
        <w:jc w:val="both"/>
      </w:pPr>
    </w:p>
    <w:p w14:paraId="185C0F12" w14:textId="77777777" w:rsidR="00B703AD" w:rsidRDefault="00CD3F53" w:rsidP="00B703AD">
      <w:pPr>
        <w:keepNext/>
        <w:pBdr>
          <w:top w:val="nil"/>
          <w:left w:val="nil"/>
          <w:bottom w:val="nil"/>
          <w:right w:val="nil"/>
          <w:between w:val="nil"/>
        </w:pBdr>
        <w:spacing w:after="0"/>
        <w:ind w:firstLine="0"/>
        <w:jc w:val="center"/>
      </w:pPr>
      <w:r>
        <w:rPr>
          <w:rFonts w:eastAsia="Arial" w:cs="Arial"/>
          <w:noProof/>
        </w:rPr>
        <w:drawing>
          <wp:inline distT="0" distB="0" distL="0" distR="0" wp14:anchorId="16758B02" wp14:editId="171AF5AF">
            <wp:extent cx="4220210" cy="5451475"/>
            <wp:effectExtent l="0" t="0" r="8890" b="0"/>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20210" cy="5451475"/>
                    </a:xfrm>
                    <a:prstGeom prst="rect">
                      <a:avLst/>
                    </a:prstGeom>
                    <a:noFill/>
                    <a:ln>
                      <a:noFill/>
                    </a:ln>
                  </pic:spPr>
                </pic:pic>
              </a:graphicData>
            </a:graphic>
          </wp:inline>
        </w:drawing>
      </w:r>
    </w:p>
    <w:p w14:paraId="11DFB329" w14:textId="616A70CE" w:rsidR="00795C1D" w:rsidRPr="00B703AD" w:rsidRDefault="00B703AD" w:rsidP="00B703AD">
      <w:pPr>
        <w:pStyle w:val="Descripcin"/>
        <w:spacing w:after="0"/>
        <w:jc w:val="center"/>
        <w:rPr>
          <w:color w:val="auto"/>
        </w:rPr>
      </w:pPr>
      <w:bookmarkStart w:id="41" w:name="_Toc57223723"/>
      <w:r w:rsidRPr="00B703AD">
        <w:rPr>
          <w:color w:val="auto"/>
        </w:rPr>
        <w:t xml:space="preserve">Ilustración </w:t>
      </w:r>
      <w:r w:rsidRPr="00B703AD">
        <w:rPr>
          <w:color w:val="auto"/>
        </w:rPr>
        <w:fldChar w:fldCharType="begin"/>
      </w:r>
      <w:r w:rsidRPr="00B703AD">
        <w:rPr>
          <w:color w:val="auto"/>
        </w:rPr>
        <w:instrText xml:space="preserve"> SEQ Ilustración \* ARABIC </w:instrText>
      </w:r>
      <w:r w:rsidRPr="00B703AD">
        <w:rPr>
          <w:color w:val="auto"/>
        </w:rPr>
        <w:fldChar w:fldCharType="separate"/>
      </w:r>
      <w:r w:rsidR="00DC2EB1">
        <w:rPr>
          <w:noProof/>
          <w:color w:val="auto"/>
        </w:rPr>
        <w:t>5</w:t>
      </w:r>
      <w:r w:rsidRPr="00B703AD">
        <w:rPr>
          <w:color w:val="auto"/>
        </w:rPr>
        <w:fldChar w:fldCharType="end"/>
      </w:r>
      <w:r w:rsidRPr="00B703AD">
        <w:rPr>
          <w:color w:val="auto"/>
        </w:rPr>
        <w:t>. Distribución espacial de los p promedios anuales de PM10 del año 2019 con base en el método de interpolación Kriging</w:t>
      </w:r>
      <w:bookmarkEnd w:id="41"/>
    </w:p>
    <w:p w14:paraId="28D7C237" w14:textId="1AD6A9D9" w:rsidR="00E521B7" w:rsidRPr="0021431B" w:rsidRDefault="00E521B7" w:rsidP="00E521B7">
      <w:pPr>
        <w:pBdr>
          <w:top w:val="nil"/>
          <w:left w:val="nil"/>
          <w:bottom w:val="nil"/>
          <w:right w:val="nil"/>
          <w:between w:val="nil"/>
        </w:pBdr>
        <w:spacing w:after="0" w:line="240" w:lineRule="auto"/>
        <w:ind w:left="284"/>
        <w:jc w:val="center"/>
        <w:rPr>
          <w:i/>
          <w:iCs/>
          <w:sz w:val="18"/>
          <w:szCs w:val="18"/>
        </w:rPr>
      </w:pPr>
      <w:bookmarkStart w:id="42" w:name="_Hlk56537347"/>
      <w:r w:rsidRPr="00B703AD">
        <w:rPr>
          <w:i/>
          <w:iCs/>
          <w:sz w:val="18"/>
          <w:szCs w:val="18"/>
        </w:rPr>
        <w:t xml:space="preserve">Fuente: Informe Anual de Calidad del </w:t>
      </w:r>
      <w:r w:rsidRPr="0021431B">
        <w:rPr>
          <w:i/>
          <w:iCs/>
          <w:sz w:val="18"/>
          <w:szCs w:val="18"/>
        </w:rPr>
        <w:t>Aire 2019</w:t>
      </w:r>
    </w:p>
    <w:p w14:paraId="0EE09C17" w14:textId="77777777" w:rsidR="0087017A" w:rsidRPr="0021431B" w:rsidRDefault="0087017A" w:rsidP="00E521B7">
      <w:pPr>
        <w:pBdr>
          <w:top w:val="nil"/>
          <w:left w:val="nil"/>
          <w:bottom w:val="nil"/>
          <w:right w:val="nil"/>
          <w:between w:val="nil"/>
        </w:pBdr>
        <w:spacing w:after="0" w:line="240" w:lineRule="auto"/>
        <w:ind w:left="1440"/>
        <w:jc w:val="both"/>
        <w:rPr>
          <w:rFonts w:eastAsia="Arial" w:cs="Arial"/>
          <w:i/>
          <w:iCs/>
        </w:rPr>
      </w:pPr>
    </w:p>
    <w:bookmarkEnd w:id="42"/>
    <w:p w14:paraId="59D0E490" w14:textId="77777777" w:rsidR="0087017A" w:rsidRDefault="0087017A" w:rsidP="00C61BA6">
      <w:pPr>
        <w:pBdr>
          <w:top w:val="nil"/>
          <w:left w:val="nil"/>
          <w:bottom w:val="nil"/>
          <w:right w:val="nil"/>
          <w:between w:val="nil"/>
        </w:pBdr>
        <w:spacing w:after="0"/>
        <w:ind w:left="1440"/>
        <w:jc w:val="both"/>
        <w:rPr>
          <w:rFonts w:eastAsia="Arial" w:cs="Arial"/>
        </w:rPr>
      </w:pPr>
    </w:p>
    <w:p w14:paraId="146FB5E0" w14:textId="77777777" w:rsidR="004B2EEA" w:rsidRDefault="004B2EEA" w:rsidP="004E5A87">
      <w:pPr>
        <w:pBdr>
          <w:top w:val="nil"/>
          <w:left w:val="nil"/>
          <w:bottom w:val="nil"/>
          <w:right w:val="nil"/>
          <w:between w:val="nil"/>
        </w:pBdr>
        <w:spacing w:after="0"/>
        <w:jc w:val="both"/>
        <w:rPr>
          <w:rFonts w:eastAsia="Arial" w:cs="Arial"/>
          <w:b/>
          <w:bCs/>
          <w:color w:val="000000"/>
        </w:rPr>
      </w:pPr>
    </w:p>
    <w:p w14:paraId="098D6072" w14:textId="07FD1DDF" w:rsidR="00DD102D" w:rsidRPr="0069715A" w:rsidRDefault="004E5A87" w:rsidP="004B2EEA">
      <w:pPr>
        <w:pStyle w:val="Ttulo3"/>
      </w:pPr>
      <w:bookmarkStart w:id="43" w:name="_Toc57238621"/>
      <w:r w:rsidRPr="0069715A">
        <w:lastRenderedPageBreak/>
        <w:t xml:space="preserve">2.2.2 </w:t>
      </w:r>
      <w:r w:rsidR="00DD102D" w:rsidRPr="0069715A">
        <w:t>Eventos de contaminación atmosférica</w:t>
      </w:r>
      <w:r w:rsidRPr="0069715A">
        <w:t xml:space="preserve"> en Bogotá:</w:t>
      </w:r>
      <w:bookmarkEnd w:id="43"/>
    </w:p>
    <w:p w14:paraId="2A3E4695" w14:textId="77777777" w:rsidR="004E5A87" w:rsidRDefault="004E5A87" w:rsidP="0065400E">
      <w:pPr>
        <w:pBdr>
          <w:top w:val="nil"/>
          <w:left w:val="nil"/>
          <w:bottom w:val="nil"/>
          <w:right w:val="nil"/>
          <w:between w:val="nil"/>
        </w:pBdr>
        <w:spacing w:after="0"/>
        <w:ind w:left="567"/>
        <w:jc w:val="both"/>
      </w:pPr>
      <w:r>
        <w:t xml:space="preserve">En la ciudad de Bogotá, el primer trimestre del año es el periodo más crítico con relación al aumento de las concentraciones de material particulado, debido al inicio de la temporada seca, con lo cual predominan las condiciones meteorológicas que favorecen la estabilidad de la atmósfera, por lo cual se registran inversiones térmicas y cambios en la dirección del viento. Asimismo, a causa de la disminución de la precipitación, se incrementan los incendios forestales registrados en diferentes regiones, lo cual incide en el material particulado que puede ser transportado desde diferentes lugares del país hacia la ciudad. </w:t>
      </w:r>
    </w:p>
    <w:p w14:paraId="021EEB7F" w14:textId="77777777" w:rsidR="00193C24" w:rsidRDefault="00193C24" w:rsidP="0065400E">
      <w:pPr>
        <w:pBdr>
          <w:top w:val="nil"/>
          <w:left w:val="nil"/>
          <w:bottom w:val="nil"/>
          <w:right w:val="nil"/>
          <w:between w:val="nil"/>
        </w:pBdr>
        <w:spacing w:after="0"/>
        <w:ind w:left="567"/>
        <w:jc w:val="both"/>
      </w:pPr>
    </w:p>
    <w:p w14:paraId="239F1FD3" w14:textId="7585C14D" w:rsidR="004E5A87" w:rsidRDefault="004E5A87" w:rsidP="0065400E">
      <w:pPr>
        <w:pBdr>
          <w:top w:val="nil"/>
          <w:left w:val="nil"/>
          <w:bottom w:val="nil"/>
          <w:right w:val="nil"/>
          <w:between w:val="nil"/>
        </w:pBdr>
        <w:spacing w:after="0"/>
        <w:ind w:left="567"/>
        <w:jc w:val="both"/>
      </w:pPr>
      <w:r>
        <w:t xml:space="preserve">En el primer trimestre de 2019 se registraron cuatro alertas por contaminación atmosférica, el 14 de febrero, el 15 de febrero, el 7 de marzo y el 28 de marzo, periodos en los cuales se observaron concentraciones que alcanzaron las condiciones Regular y Mala por más de 48 horas, con lo que se cumplieron los requerimientos para la declaración de las alertas y la ejecución de medidas tendientes a reducir las concentraciones de material particulado. En la </w:t>
      </w:r>
      <w:proofErr w:type="gramStart"/>
      <w:r>
        <w:t>Tabla  se</w:t>
      </w:r>
      <w:proofErr w:type="gramEnd"/>
      <w:r>
        <w:t xml:space="preserve"> relacionan las alertas declaradas durante el primer trimestre de 2019.</w:t>
      </w:r>
    </w:p>
    <w:p w14:paraId="27559139" w14:textId="18B10111" w:rsidR="00193C24" w:rsidRDefault="00193C24" w:rsidP="004E5A87">
      <w:pPr>
        <w:pBdr>
          <w:top w:val="nil"/>
          <w:left w:val="nil"/>
          <w:bottom w:val="nil"/>
          <w:right w:val="nil"/>
          <w:between w:val="nil"/>
        </w:pBdr>
        <w:spacing w:after="0"/>
        <w:jc w:val="both"/>
      </w:pPr>
    </w:p>
    <w:p w14:paraId="054CBA32" w14:textId="399763A3" w:rsidR="00E169A6" w:rsidRDefault="00E169A6" w:rsidP="00E169A6">
      <w:pPr>
        <w:pStyle w:val="Descripcin"/>
        <w:keepNext/>
        <w:spacing w:after="0"/>
        <w:jc w:val="center"/>
        <w:rPr>
          <w:color w:val="auto"/>
        </w:rPr>
      </w:pPr>
      <w:bookmarkStart w:id="44" w:name="_Toc57227493"/>
      <w:r w:rsidRPr="00E169A6">
        <w:rPr>
          <w:color w:val="auto"/>
        </w:rPr>
        <w:t xml:space="preserve">Tabla </w:t>
      </w:r>
      <w:r w:rsidRPr="00E169A6">
        <w:rPr>
          <w:color w:val="auto"/>
        </w:rPr>
        <w:fldChar w:fldCharType="begin"/>
      </w:r>
      <w:r w:rsidRPr="00E169A6">
        <w:rPr>
          <w:color w:val="auto"/>
        </w:rPr>
        <w:instrText xml:space="preserve"> SEQ Tabla \* ARABIC </w:instrText>
      </w:r>
      <w:r w:rsidRPr="00E169A6">
        <w:rPr>
          <w:color w:val="auto"/>
        </w:rPr>
        <w:fldChar w:fldCharType="separate"/>
      </w:r>
      <w:r w:rsidR="00C37D33">
        <w:rPr>
          <w:noProof/>
          <w:color w:val="auto"/>
        </w:rPr>
        <w:t>8</w:t>
      </w:r>
      <w:r w:rsidRPr="00E169A6">
        <w:rPr>
          <w:color w:val="auto"/>
        </w:rPr>
        <w:fldChar w:fldCharType="end"/>
      </w:r>
      <w:r w:rsidRPr="00E169A6">
        <w:rPr>
          <w:color w:val="auto"/>
        </w:rPr>
        <w:t>.Alertas por contaminación atmosférica declaradas en el 2019.</w:t>
      </w:r>
      <w:bookmarkEnd w:id="44"/>
    </w:p>
    <w:p w14:paraId="2E0AC5C6" w14:textId="72347354" w:rsidR="00E169A6" w:rsidRPr="00E169A6" w:rsidRDefault="00E169A6" w:rsidP="00E169A6">
      <w:pPr>
        <w:spacing w:after="0" w:line="240" w:lineRule="auto"/>
      </w:pPr>
      <w:r>
        <w:rPr>
          <w:rFonts w:eastAsia="Arial" w:cs="Arial"/>
          <w:noProof/>
          <w:color w:val="000000"/>
        </w:rPr>
        <w:drawing>
          <wp:inline distT="0" distB="0" distL="0" distR="0" wp14:anchorId="613954E0" wp14:editId="6F79FCD9">
            <wp:extent cx="5476240" cy="3928745"/>
            <wp:effectExtent l="0" t="0" r="0"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76240" cy="3928745"/>
                    </a:xfrm>
                    <a:prstGeom prst="rect">
                      <a:avLst/>
                    </a:prstGeom>
                    <a:noFill/>
                    <a:ln>
                      <a:noFill/>
                    </a:ln>
                  </pic:spPr>
                </pic:pic>
              </a:graphicData>
            </a:graphic>
          </wp:inline>
        </w:drawing>
      </w:r>
    </w:p>
    <w:p w14:paraId="598295FB" w14:textId="0D063423" w:rsidR="00193C24" w:rsidRDefault="00193C24" w:rsidP="004E5A87">
      <w:pPr>
        <w:pBdr>
          <w:top w:val="nil"/>
          <w:left w:val="nil"/>
          <w:bottom w:val="nil"/>
          <w:right w:val="nil"/>
          <w:between w:val="nil"/>
        </w:pBdr>
        <w:spacing w:after="0"/>
        <w:jc w:val="both"/>
        <w:rPr>
          <w:rFonts w:eastAsia="Arial" w:cs="Arial"/>
          <w:color w:val="000000"/>
        </w:rPr>
      </w:pPr>
    </w:p>
    <w:p w14:paraId="7C64403E" w14:textId="0E2E76B5" w:rsidR="00193C24" w:rsidRDefault="00193C24" w:rsidP="004E5A87">
      <w:pPr>
        <w:pBdr>
          <w:top w:val="nil"/>
          <w:left w:val="nil"/>
          <w:bottom w:val="nil"/>
          <w:right w:val="nil"/>
          <w:between w:val="nil"/>
        </w:pBdr>
        <w:spacing w:after="0"/>
        <w:jc w:val="both"/>
        <w:rPr>
          <w:rFonts w:eastAsia="Arial" w:cs="Arial"/>
          <w:color w:val="000000"/>
        </w:rPr>
      </w:pPr>
      <w:r>
        <w:rPr>
          <w:rFonts w:eastAsia="Arial" w:cs="Arial"/>
          <w:noProof/>
          <w:color w:val="000000"/>
        </w:rPr>
        <w:drawing>
          <wp:inline distT="0" distB="0" distL="0" distR="0" wp14:anchorId="7C57C8B7" wp14:editId="56C6C9D0">
            <wp:extent cx="5456555" cy="1105535"/>
            <wp:effectExtent l="0" t="0" r="0" b="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56555" cy="1105535"/>
                    </a:xfrm>
                    <a:prstGeom prst="rect">
                      <a:avLst/>
                    </a:prstGeom>
                    <a:noFill/>
                    <a:ln>
                      <a:noFill/>
                    </a:ln>
                  </pic:spPr>
                </pic:pic>
              </a:graphicData>
            </a:graphic>
          </wp:inline>
        </w:drawing>
      </w:r>
    </w:p>
    <w:p w14:paraId="25BD06E4" w14:textId="1D7429C3" w:rsidR="005C198B" w:rsidRPr="00E169A6" w:rsidRDefault="005C198B" w:rsidP="005C198B">
      <w:pPr>
        <w:pBdr>
          <w:top w:val="nil"/>
          <w:left w:val="nil"/>
          <w:bottom w:val="nil"/>
          <w:right w:val="nil"/>
          <w:between w:val="nil"/>
        </w:pBdr>
        <w:spacing w:after="0" w:line="240" w:lineRule="auto"/>
        <w:ind w:left="284"/>
        <w:jc w:val="center"/>
        <w:rPr>
          <w:i/>
          <w:iCs/>
          <w:sz w:val="18"/>
          <w:szCs w:val="18"/>
        </w:rPr>
      </w:pPr>
      <w:r w:rsidRPr="00E169A6">
        <w:rPr>
          <w:i/>
          <w:iCs/>
          <w:sz w:val="18"/>
          <w:szCs w:val="18"/>
        </w:rPr>
        <w:t>Fuente: Informe Anual de Calidad del Aire 2019</w:t>
      </w:r>
    </w:p>
    <w:p w14:paraId="5C58718E" w14:textId="5187EE4A" w:rsidR="006A3C0E" w:rsidRDefault="006A3C0E" w:rsidP="006A3C0E">
      <w:pPr>
        <w:spacing w:after="0" w:line="240" w:lineRule="auto"/>
        <w:ind w:firstLine="0"/>
        <w:rPr>
          <w:rFonts w:eastAsia="Arial" w:cs="Arial"/>
        </w:rPr>
      </w:pPr>
    </w:p>
    <w:p w14:paraId="5E1B8F90" w14:textId="2E6E450D" w:rsidR="006A3C0E" w:rsidRDefault="004B2EEA" w:rsidP="004B2EEA">
      <w:pPr>
        <w:pStyle w:val="Ttulo3"/>
        <w:ind w:firstLine="0"/>
      </w:pPr>
      <w:bookmarkStart w:id="45" w:name="_Toc57238622"/>
      <w:r>
        <w:t xml:space="preserve">2.2.3 </w:t>
      </w:r>
      <w:r w:rsidR="006A3C0E" w:rsidRPr="006A3C0E">
        <w:t>Degradación espacial de emisiones.</w:t>
      </w:r>
      <w:bookmarkEnd w:id="45"/>
    </w:p>
    <w:p w14:paraId="3D87F8CA" w14:textId="77777777" w:rsidR="000E1BC4" w:rsidRDefault="000E1BC4" w:rsidP="000E1BC4">
      <w:pPr>
        <w:pStyle w:val="Prrafodelista"/>
        <w:spacing w:after="0" w:line="240" w:lineRule="auto"/>
        <w:ind w:firstLine="0"/>
        <w:rPr>
          <w:b/>
          <w:bCs/>
        </w:rPr>
      </w:pPr>
    </w:p>
    <w:p w14:paraId="38B16675" w14:textId="0032D834" w:rsidR="000E1BC4" w:rsidRDefault="000E1BC4" w:rsidP="0065400E">
      <w:pPr>
        <w:pStyle w:val="Prrafodelista"/>
        <w:spacing w:after="0" w:line="240" w:lineRule="auto"/>
      </w:pPr>
      <w:r>
        <w:t>En las siguientes imágenes se observan los mapas de distribución espacial resultante de las emisiones diarias de los contaminantes criterio (PM</w:t>
      </w:r>
      <w:r w:rsidRPr="000E1BC4">
        <w:rPr>
          <w:vertAlign w:val="subscript"/>
        </w:rPr>
        <w:t>2.5</w:t>
      </w:r>
      <w:r>
        <w:t>, PM</w:t>
      </w:r>
      <w:r w:rsidRPr="000E1BC4">
        <w:rPr>
          <w:vertAlign w:val="subscript"/>
        </w:rPr>
        <w:t>10</w:t>
      </w:r>
      <w:r>
        <w:t>, SO</w:t>
      </w:r>
      <w:r w:rsidRPr="000E1BC4">
        <w:rPr>
          <w:vertAlign w:val="subscript"/>
        </w:rPr>
        <w:t>2</w:t>
      </w:r>
      <w:r>
        <w:t>, CO y NO</w:t>
      </w:r>
      <w:r w:rsidRPr="000E1BC4">
        <w:rPr>
          <w:vertAlign w:val="subscript"/>
        </w:rPr>
        <w:t>x</w:t>
      </w:r>
      <w:r>
        <w:t>) provenientes de las fuentes móviles de emisión, durante un día hábil para la ciudad de Bogotá.</w:t>
      </w:r>
    </w:p>
    <w:p w14:paraId="399D00B5" w14:textId="5730F3F9" w:rsidR="00606A44" w:rsidRDefault="00606A44" w:rsidP="0065400E">
      <w:pPr>
        <w:pStyle w:val="Prrafodelista"/>
        <w:spacing w:after="0" w:line="240" w:lineRule="auto"/>
      </w:pPr>
    </w:p>
    <w:p w14:paraId="33962A0E" w14:textId="77777777" w:rsidR="003A0E4F" w:rsidRDefault="00606A44" w:rsidP="003A0E4F">
      <w:pPr>
        <w:pStyle w:val="Prrafodelista"/>
        <w:keepNext/>
        <w:spacing w:after="0" w:line="240" w:lineRule="auto"/>
        <w:ind w:firstLine="0"/>
        <w:jc w:val="center"/>
      </w:pPr>
      <w:r>
        <w:rPr>
          <w:b/>
          <w:bCs/>
          <w:noProof/>
        </w:rPr>
        <w:drawing>
          <wp:inline distT="0" distB="0" distL="0" distR="0" wp14:anchorId="7BB5360B" wp14:editId="0839AF5E">
            <wp:extent cx="3198313" cy="3967662"/>
            <wp:effectExtent l="0" t="0" r="2540" b="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200714" cy="3970641"/>
                    </a:xfrm>
                    <a:prstGeom prst="rect">
                      <a:avLst/>
                    </a:prstGeom>
                    <a:noFill/>
                    <a:ln>
                      <a:noFill/>
                    </a:ln>
                  </pic:spPr>
                </pic:pic>
              </a:graphicData>
            </a:graphic>
          </wp:inline>
        </w:drawing>
      </w:r>
    </w:p>
    <w:p w14:paraId="62B9ACFB" w14:textId="0C431CF0" w:rsidR="00606A44" w:rsidRPr="003A0E4F" w:rsidRDefault="003A0E4F" w:rsidP="003A0E4F">
      <w:pPr>
        <w:pStyle w:val="Descripcin"/>
        <w:spacing w:after="0"/>
        <w:jc w:val="center"/>
        <w:rPr>
          <w:color w:val="auto"/>
        </w:rPr>
      </w:pPr>
      <w:bookmarkStart w:id="46" w:name="_Toc57223724"/>
      <w:r w:rsidRPr="003A0E4F">
        <w:rPr>
          <w:color w:val="auto"/>
        </w:rPr>
        <w:t xml:space="preserve">Ilustración </w:t>
      </w:r>
      <w:r w:rsidRPr="003A0E4F">
        <w:rPr>
          <w:color w:val="auto"/>
        </w:rPr>
        <w:fldChar w:fldCharType="begin"/>
      </w:r>
      <w:r w:rsidRPr="003A0E4F">
        <w:rPr>
          <w:color w:val="auto"/>
        </w:rPr>
        <w:instrText xml:space="preserve"> SEQ Ilustración \* ARABIC </w:instrText>
      </w:r>
      <w:r w:rsidRPr="003A0E4F">
        <w:rPr>
          <w:color w:val="auto"/>
        </w:rPr>
        <w:fldChar w:fldCharType="separate"/>
      </w:r>
      <w:r w:rsidR="00DC2EB1">
        <w:rPr>
          <w:noProof/>
          <w:color w:val="auto"/>
        </w:rPr>
        <w:t>6</w:t>
      </w:r>
      <w:r w:rsidRPr="003A0E4F">
        <w:rPr>
          <w:color w:val="auto"/>
        </w:rPr>
        <w:fldChar w:fldCharType="end"/>
      </w:r>
      <w:r w:rsidRPr="003A0E4F">
        <w:rPr>
          <w:color w:val="auto"/>
        </w:rPr>
        <w:t xml:space="preserve">.Distribución espacio </w:t>
      </w:r>
      <w:proofErr w:type="gramStart"/>
      <w:r w:rsidRPr="003A0E4F">
        <w:rPr>
          <w:color w:val="auto"/>
        </w:rPr>
        <w:t>temporal  de</w:t>
      </w:r>
      <w:proofErr w:type="gramEnd"/>
      <w:r w:rsidRPr="003A0E4F">
        <w:rPr>
          <w:color w:val="auto"/>
        </w:rPr>
        <w:t xml:space="preserve"> PM 2.5 para Fuentes Móviles</w:t>
      </w:r>
      <w:bookmarkEnd w:id="46"/>
    </w:p>
    <w:p w14:paraId="1B9C8755" w14:textId="77777777" w:rsidR="008E0250" w:rsidRPr="003A0E4F" w:rsidRDefault="008E0250" w:rsidP="008E0250">
      <w:pPr>
        <w:pBdr>
          <w:top w:val="nil"/>
          <w:left w:val="nil"/>
          <w:bottom w:val="nil"/>
          <w:right w:val="nil"/>
          <w:between w:val="nil"/>
        </w:pBdr>
        <w:spacing w:after="0" w:line="240" w:lineRule="auto"/>
        <w:ind w:left="284"/>
        <w:jc w:val="center"/>
        <w:rPr>
          <w:i/>
          <w:iCs/>
          <w:sz w:val="18"/>
          <w:szCs w:val="18"/>
        </w:rPr>
      </w:pPr>
      <w:r w:rsidRPr="003A0E4F">
        <w:rPr>
          <w:i/>
          <w:iCs/>
          <w:sz w:val="18"/>
          <w:szCs w:val="18"/>
        </w:rPr>
        <w:t>Fuente: Informe Anual de Calidad del Aire 2019</w:t>
      </w:r>
    </w:p>
    <w:p w14:paraId="5F00956E" w14:textId="77777777" w:rsidR="008E0250" w:rsidRPr="0021431B" w:rsidRDefault="008E0250" w:rsidP="008E0250">
      <w:pPr>
        <w:pBdr>
          <w:top w:val="nil"/>
          <w:left w:val="nil"/>
          <w:bottom w:val="nil"/>
          <w:right w:val="nil"/>
          <w:between w:val="nil"/>
        </w:pBdr>
        <w:spacing w:after="0" w:line="240" w:lineRule="auto"/>
        <w:ind w:left="1440"/>
        <w:jc w:val="both"/>
        <w:rPr>
          <w:rFonts w:eastAsia="Arial" w:cs="Arial"/>
          <w:i/>
          <w:iCs/>
        </w:rPr>
      </w:pPr>
    </w:p>
    <w:p w14:paraId="5A020C3E" w14:textId="77777777" w:rsidR="008E0250" w:rsidRPr="0021431B" w:rsidRDefault="008E0250" w:rsidP="00606A44">
      <w:pPr>
        <w:pStyle w:val="Prrafodelista"/>
        <w:spacing w:after="0" w:line="240" w:lineRule="auto"/>
        <w:ind w:firstLine="0"/>
        <w:jc w:val="center"/>
        <w:rPr>
          <w:i/>
          <w:iCs/>
        </w:rPr>
      </w:pPr>
    </w:p>
    <w:p w14:paraId="619C927F" w14:textId="4EACEC33" w:rsidR="00606A44" w:rsidRPr="0021431B" w:rsidRDefault="00606A44" w:rsidP="00606A44">
      <w:pPr>
        <w:pStyle w:val="Prrafodelista"/>
        <w:spacing w:after="0" w:line="240" w:lineRule="auto"/>
        <w:ind w:firstLine="0"/>
        <w:jc w:val="center"/>
        <w:rPr>
          <w:i/>
          <w:iCs/>
        </w:rPr>
      </w:pPr>
    </w:p>
    <w:p w14:paraId="00BF02D7" w14:textId="77777777" w:rsidR="003A0E4F" w:rsidRDefault="00606A44" w:rsidP="003A0E4F">
      <w:pPr>
        <w:pStyle w:val="Prrafodelista"/>
        <w:keepNext/>
        <w:spacing w:after="0" w:line="240" w:lineRule="auto"/>
        <w:ind w:firstLine="0"/>
        <w:jc w:val="center"/>
      </w:pPr>
      <w:r>
        <w:rPr>
          <w:b/>
          <w:bCs/>
          <w:noProof/>
        </w:rPr>
        <w:lastRenderedPageBreak/>
        <w:drawing>
          <wp:inline distT="0" distB="0" distL="0" distR="0" wp14:anchorId="64D239EA" wp14:editId="1DE80E1A">
            <wp:extent cx="2807957" cy="3590872"/>
            <wp:effectExtent l="0" t="0" r="0"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830606" cy="3619836"/>
                    </a:xfrm>
                    <a:prstGeom prst="rect">
                      <a:avLst/>
                    </a:prstGeom>
                    <a:noFill/>
                    <a:ln>
                      <a:noFill/>
                    </a:ln>
                  </pic:spPr>
                </pic:pic>
              </a:graphicData>
            </a:graphic>
          </wp:inline>
        </w:drawing>
      </w:r>
    </w:p>
    <w:p w14:paraId="43D56363" w14:textId="09E1ACBD" w:rsidR="0021431B" w:rsidRDefault="003A0E4F" w:rsidP="003A0E4F">
      <w:pPr>
        <w:pStyle w:val="Descripcin"/>
        <w:spacing w:after="0"/>
        <w:jc w:val="center"/>
      </w:pPr>
      <w:bookmarkStart w:id="47" w:name="_Toc57223725"/>
      <w:r w:rsidRPr="003A0E4F">
        <w:rPr>
          <w:color w:val="auto"/>
        </w:rPr>
        <w:t xml:space="preserve">Ilustración </w:t>
      </w:r>
      <w:r w:rsidRPr="003A0E4F">
        <w:rPr>
          <w:color w:val="auto"/>
        </w:rPr>
        <w:fldChar w:fldCharType="begin"/>
      </w:r>
      <w:r w:rsidRPr="003A0E4F">
        <w:rPr>
          <w:color w:val="auto"/>
        </w:rPr>
        <w:instrText xml:space="preserve"> SEQ Ilustración \* ARABIC </w:instrText>
      </w:r>
      <w:r w:rsidRPr="003A0E4F">
        <w:rPr>
          <w:color w:val="auto"/>
        </w:rPr>
        <w:fldChar w:fldCharType="separate"/>
      </w:r>
      <w:r w:rsidR="00DC2EB1">
        <w:rPr>
          <w:noProof/>
          <w:color w:val="auto"/>
        </w:rPr>
        <w:t>7</w:t>
      </w:r>
      <w:r w:rsidRPr="003A0E4F">
        <w:rPr>
          <w:color w:val="auto"/>
        </w:rPr>
        <w:fldChar w:fldCharType="end"/>
      </w:r>
      <w:r w:rsidRPr="003A0E4F">
        <w:rPr>
          <w:color w:val="auto"/>
        </w:rPr>
        <w:t>.Distribución espacio temporal de PM10 para fuentes móviles.</w:t>
      </w:r>
      <w:bookmarkEnd w:id="47"/>
    </w:p>
    <w:p w14:paraId="7D4CC2F0" w14:textId="77777777" w:rsidR="008E0250" w:rsidRPr="002C3B20" w:rsidRDefault="008E0250" w:rsidP="008E0250">
      <w:pPr>
        <w:pBdr>
          <w:top w:val="nil"/>
          <w:left w:val="nil"/>
          <w:bottom w:val="nil"/>
          <w:right w:val="nil"/>
          <w:between w:val="nil"/>
        </w:pBdr>
        <w:spacing w:after="0" w:line="240" w:lineRule="auto"/>
        <w:ind w:left="284"/>
        <w:jc w:val="center"/>
        <w:rPr>
          <w:i/>
          <w:iCs/>
          <w:sz w:val="18"/>
          <w:szCs w:val="18"/>
        </w:rPr>
      </w:pPr>
      <w:r w:rsidRPr="002C3B20">
        <w:rPr>
          <w:i/>
          <w:iCs/>
          <w:sz w:val="18"/>
          <w:szCs w:val="18"/>
        </w:rPr>
        <w:t>Fuente: Informe Anual de Calidad del Aire 2019</w:t>
      </w:r>
    </w:p>
    <w:p w14:paraId="04DF6568" w14:textId="77777777" w:rsidR="008E0250" w:rsidRDefault="008E0250" w:rsidP="008E0250">
      <w:pPr>
        <w:pBdr>
          <w:top w:val="nil"/>
          <w:left w:val="nil"/>
          <w:bottom w:val="nil"/>
          <w:right w:val="nil"/>
          <w:between w:val="nil"/>
        </w:pBdr>
        <w:spacing w:after="0" w:line="240" w:lineRule="auto"/>
        <w:ind w:left="1440"/>
        <w:jc w:val="both"/>
        <w:rPr>
          <w:rFonts w:eastAsia="Arial" w:cs="Arial"/>
        </w:rPr>
      </w:pPr>
    </w:p>
    <w:p w14:paraId="79D94D95" w14:textId="77777777" w:rsidR="003A0E4F" w:rsidRDefault="00606A44" w:rsidP="003A0E4F">
      <w:pPr>
        <w:pStyle w:val="Prrafodelista"/>
        <w:keepNext/>
        <w:spacing w:after="0" w:line="240" w:lineRule="auto"/>
        <w:ind w:firstLine="0"/>
        <w:jc w:val="center"/>
      </w:pPr>
      <w:r>
        <w:rPr>
          <w:b/>
          <w:bCs/>
          <w:noProof/>
        </w:rPr>
        <w:drawing>
          <wp:inline distT="0" distB="0" distL="0" distR="0" wp14:anchorId="6258CC5D" wp14:editId="20967F2D">
            <wp:extent cx="2943395" cy="3831771"/>
            <wp:effectExtent l="0" t="0" r="9525" b="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947649" cy="3837309"/>
                    </a:xfrm>
                    <a:prstGeom prst="rect">
                      <a:avLst/>
                    </a:prstGeom>
                    <a:noFill/>
                    <a:ln>
                      <a:noFill/>
                    </a:ln>
                  </pic:spPr>
                </pic:pic>
              </a:graphicData>
            </a:graphic>
          </wp:inline>
        </w:drawing>
      </w:r>
    </w:p>
    <w:p w14:paraId="2F1DFD2D" w14:textId="1933EF5B" w:rsidR="002C3B20" w:rsidRPr="003A0E4F" w:rsidRDefault="003A0E4F" w:rsidP="003A0E4F">
      <w:pPr>
        <w:pStyle w:val="Descripcin"/>
        <w:spacing w:after="0"/>
        <w:jc w:val="center"/>
        <w:rPr>
          <w:color w:val="auto"/>
        </w:rPr>
      </w:pPr>
      <w:bookmarkStart w:id="48" w:name="_Toc57223726"/>
      <w:r w:rsidRPr="003A0E4F">
        <w:rPr>
          <w:color w:val="auto"/>
        </w:rPr>
        <w:t xml:space="preserve">Ilustración </w:t>
      </w:r>
      <w:r w:rsidRPr="003A0E4F">
        <w:rPr>
          <w:color w:val="auto"/>
        </w:rPr>
        <w:fldChar w:fldCharType="begin"/>
      </w:r>
      <w:r w:rsidRPr="003A0E4F">
        <w:rPr>
          <w:color w:val="auto"/>
        </w:rPr>
        <w:instrText xml:space="preserve"> SEQ Ilustración \* ARABIC </w:instrText>
      </w:r>
      <w:r w:rsidRPr="003A0E4F">
        <w:rPr>
          <w:color w:val="auto"/>
        </w:rPr>
        <w:fldChar w:fldCharType="separate"/>
      </w:r>
      <w:r w:rsidR="00DC2EB1">
        <w:rPr>
          <w:noProof/>
          <w:color w:val="auto"/>
        </w:rPr>
        <w:t>8</w:t>
      </w:r>
      <w:r w:rsidRPr="003A0E4F">
        <w:rPr>
          <w:color w:val="auto"/>
        </w:rPr>
        <w:fldChar w:fldCharType="end"/>
      </w:r>
      <w:r w:rsidRPr="003A0E4F">
        <w:rPr>
          <w:color w:val="auto"/>
        </w:rPr>
        <w:t>.Distribución espacio temporal de CO para Fuentes Móviles</w:t>
      </w:r>
      <w:bookmarkEnd w:id="48"/>
    </w:p>
    <w:p w14:paraId="0320DC01" w14:textId="77777777" w:rsidR="008E0250" w:rsidRPr="002C3B20" w:rsidRDefault="008E0250" w:rsidP="008E0250">
      <w:pPr>
        <w:pBdr>
          <w:top w:val="nil"/>
          <w:left w:val="nil"/>
          <w:bottom w:val="nil"/>
          <w:right w:val="nil"/>
          <w:between w:val="nil"/>
        </w:pBdr>
        <w:spacing w:after="0" w:line="240" w:lineRule="auto"/>
        <w:ind w:left="284"/>
        <w:jc w:val="center"/>
        <w:rPr>
          <w:i/>
          <w:iCs/>
          <w:sz w:val="18"/>
          <w:szCs w:val="18"/>
        </w:rPr>
      </w:pPr>
      <w:r w:rsidRPr="002C3B20">
        <w:rPr>
          <w:i/>
          <w:iCs/>
          <w:sz w:val="18"/>
          <w:szCs w:val="18"/>
        </w:rPr>
        <w:t>Fuente: Informe Anual de Calidad del Aire 2019</w:t>
      </w:r>
    </w:p>
    <w:p w14:paraId="1EA4D281" w14:textId="77777777" w:rsidR="008E0250" w:rsidRPr="008E0250" w:rsidRDefault="008E0250" w:rsidP="008E0250">
      <w:pPr>
        <w:pBdr>
          <w:top w:val="nil"/>
          <w:left w:val="nil"/>
          <w:bottom w:val="nil"/>
          <w:right w:val="nil"/>
          <w:between w:val="nil"/>
        </w:pBdr>
        <w:spacing w:after="0" w:line="240" w:lineRule="auto"/>
        <w:ind w:left="1440"/>
        <w:jc w:val="both"/>
        <w:rPr>
          <w:rFonts w:eastAsia="Arial" w:cs="Arial"/>
          <w:sz w:val="18"/>
          <w:szCs w:val="18"/>
        </w:rPr>
      </w:pPr>
    </w:p>
    <w:p w14:paraId="419819C1" w14:textId="2E37D71A" w:rsidR="008E0250" w:rsidRDefault="008E0250" w:rsidP="00606A44">
      <w:pPr>
        <w:pBdr>
          <w:top w:val="nil"/>
          <w:left w:val="nil"/>
          <w:bottom w:val="nil"/>
          <w:right w:val="nil"/>
          <w:between w:val="nil"/>
        </w:pBdr>
        <w:spacing w:after="0"/>
        <w:ind w:left="709" w:firstLine="0"/>
        <w:jc w:val="center"/>
        <w:rPr>
          <w:rFonts w:eastAsia="Arial" w:cs="Arial"/>
          <w:color w:val="000000"/>
        </w:rPr>
      </w:pPr>
    </w:p>
    <w:p w14:paraId="6871BB67" w14:textId="77777777" w:rsidR="00EE0AF8" w:rsidRDefault="00606A44" w:rsidP="00EE0AF8">
      <w:pPr>
        <w:keepNext/>
        <w:pBdr>
          <w:top w:val="nil"/>
          <w:left w:val="nil"/>
          <w:bottom w:val="nil"/>
          <w:right w:val="nil"/>
          <w:between w:val="nil"/>
        </w:pBdr>
        <w:spacing w:after="0"/>
        <w:ind w:left="284" w:firstLine="0"/>
        <w:jc w:val="center"/>
      </w:pPr>
      <w:r>
        <w:rPr>
          <w:rFonts w:eastAsia="Arial" w:cs="Arial"/>
          <w:noProof/>
          <w:color w:val="000000"/>
        </w:rPr>
        <w:drawing>
          <wp:inline distT="0" distB="0" distL="0" distR="0" wp14:anchorId="47B9C95B" wp14:editId="6B7C8908">
            <wp:extent cx="2744126" cy="3548743"/>
            <wp:effectExtent l="0" t="0" r="0"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752652" cy="3559769"/>
                    </a:xfrm>
                    <a:prstGeom prst="rect">
                      <a:avLst/>
                    </a:prstGeom>
                    <a:noFill/>
                    <a:ln>
                      <a:noFill/>
                    </a:ln>
                  </pic:spPr>
                </pic:pic>
              </a:graphicData>
            </a:graphic>
          </wp:inline>
        </w:drawing>
      </w:r>
    </w:p>
    <w:p w14:paraId="02DC554E" w14:textId="4A911EAB" w:rsidR="0016484F" w:rsidRPr="00EE0AF8" w:rsidRDefault="00EE0AF8" w:rsidP="00EE0AF8">
      <w:pPr>
        <w:pStyle w:val="Descripcin"/>
        <w:spacing w:after="0"/>
        <w:jc w:val="center"/>
        <w:rPr>
          <w:color w:val="auto"/>
        </w:rPr>
      </w:pPr>
      <w:bookmarkStart w:id="49" w:name="_Toc57223727"/>
      <w:r w:rsidRPr="00EE0AF8">
        <w:rPr>
          <w:color w:val="auto"/>
        </w:rPr>
        <w:t xml:space="preserve">Ilustración </w:t>
      </w:r>
      <w:r w:rsidRPr="00EE0AF8">
        <w:rPr>
          <w:color w:val="auto"/>
        </w:rPr>
        <w:fldChar w:fldCharType="begin"/>
      </w:r>
      <w:r w:rsidRPr="00EE0AF8">
        <w:rPr>
          <w:color w:val="auto"/>
        </w:rPr>
        <w:instrText xml:space="preserve"> SEQ Ilustración \* ARABIC </w:instrText>
      </w:r>
      <w:r w:rsidRPr="00EE0AF8">
        <w:rPr>
          <w:color w:val="auto"/>
        </w:rPr>
        <w:fldChar w:fldCharType="separate"/>
      </w:r>
      <w:r w:rsidR="00DC2EB1">
        <w:rPr>
          <w:noProof/>
          <w:color w:val="auto"/>
        </w:rPr>
        <w:t>9</w:t>
      </w:r>
      <w:r w:rsidRPr="00EE0AF8">
        <w:rPr>
          <w:color w:val="auto"/>
        </w:rPr>
        <w:fldChar w:fldCharType="end"/>
      </w:r>
      <w:r w:rsidRPr="00EE0AF8">
        <w:rPr>
          <w:color w:val="auto"/>
        </w:rPr>
        <w:t>.Distribución espacio temporal de NOx para Fuentes Móviles</w:t>
      </w:r>
      <w:bookmarkEnd w:id="49"/>
    </w:p>
    <w:p w14:paraId="1243822C" w14:textId="2646EF69" w:rsidR="008E0250" w:rsidRPr="00EE0AF8" w:rsidRDefault="008E0250" w:rsidP="00364B36">
      <w:pPr>
        <w:spacing w:line="240" w:lineRule="auto"/>
        <w:jc w:val="center"/>
        <w:rPr>
          <w:i/>
          <w:iCs/>
          <w:sz w:val="18"/>
          <w:szCs w:val="18"/>
        </w:rPr>
      </w:pPr>
      <w:r w:rsidRPr="00EE0AF8">
        <w:rPr>
          <w:i/>
          <w:iCs/>
          <w:sz w:val="18"/>
          <w:szCs w:val="18"/>
        </w:rPr>
        <w:t>Fuente: Informe Anual de</w:t>
      </w:r>
      <w:r w:rsidR="0016484F" w:rsidRPr="00EE0AF8">
        <w:rPr>
          <w:i/>
          <w:iCs/>
          <w:sz w:val="18"/>
          <w:szCs w:val="18"/>
        </w:rPr>
        <w:t>-</w:t>
      </w:r>
      <w:r w:rsidRPr="00EE0AF8">
        <w:rPr>
          <w:i/>
          <w:iCs/>
          <w:sz w:val="18"/>
          <w:szCs w:val="18"/>
        </w:rPr>
        <w:t xml:space="preserve"> Calidad del Aire 2019</w:t>
      </w:r>
    </w:p>
    <w:p w14:paraId="54A33037" w14:textId="0A5B6265" w:rsidR="00606A44" w:rsidRDefault="00EE0AF8" w:rsidP="008E0250">
      <w:pPr>
        <w:pBdr>
          <w:top w:val="nil"/>
          <w:left w:val="nil"/>
          <w:bottom w:val="nil"/>
          <w:right w:val="nil"/>
          <w:between w:val="nil"/>
        </w:pBdr>
        <w:spacing w:after="0"/>
        <w:ind w:left="-426" w:firstLine="0"/>
        <w:rPr>
          <w:rFonts w:eastAsia="Arial" w:cs="Arial"/>
          <w:color w:val="000000"/>
        </w:rPr>
      </w:pPr>
      <w:r>
        <w:rPr>
          <w:rFonts w:eastAsia="Arial" w:cs="Arial"/>
          <w:noProof/>
          <w:color w:val="000000"/>
        </w:rPr>
        <w:drawing>
          <wp:anchor distT="0" distB="0" distL="114300" distR="114300" simplePos="0" relativeHeight="251673600" behindDoc="0" locked="0" layoutInCell="1" allowOverlap="1" wp14:anchorId="1FA5CD4C" wp14:editId="68BF6163">
            <wp:simplePos x="0" y="0"/>
            <wp:positionH relativeFrom="margin">
              <wp:posOffset>1709530</wp:posOffset>
            </wp:positionH>
            <wp:positionV relativeFrom="margin">
              <wp:posOffset>4328271</wp:posOffset>
            </wp:positionV>
            <wp:extent cx="2576830" cy="3352800"/>
            <wp:effectExtent l="0" t="0" r="0" b="0"/>
            <wp:wrapSquare wrapText="bothSides"/>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76830" cy="3352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6A44">
        <w:t>s</w:t>
      </w:r>
    </w:p>
    <w:p w14:paraId="6C4A03A0" w14:textId="5922A9F9" w:rsidR="00364B36" w:rsidRDefault="00364B36" w:rsidP="00364B36">
      <w:pPr>
        <w:pBdr>
          <w:top w:val="nil"/>
          <w:left w:val="nil"/>
          <w:bottom w:val="nil"/>
          <w:right w:val="nil"/>
          <w:between w:val="nil"/>
        </w:pBdr>
        <w:spacing w:after="0"/>
        <w:ind w:left="1800" w:firstLine="0"/>
        <w:jc w:val="both"/>
        <w:rPr>
          <w:rFonts w:eastAsia="Arial" w:cs="Arial"/>
          <w:color w:val="000000"/>
        </w:rPr>
      </w:pPr>
    </w:p>
    <w:p w14:paraId="5AA74478" w14:textId="0396FA25" w:rsidR="00364B36" w:rsidRDefault="00364B36" w:rsidP="00364B36">
      <w:pPr>
        <w:pBdr>
          <w:top w:val="nil"/>
          <w:left w:val="nil"/>
          <w:bottom w:val="nil"/>
          <w:right w:val="nil"/>
          <w:between w:val="nil"/>
        </w:pBdr>
        <w:spacing w:after="0"/>
        <w:ind w:left="1800" w:firstLine="0"/>
        <w:jc w:val="both"/>
        <w:rPr>
          <w:rFonts w:eastAsia="Arial" w:cs="Arial"/>
          <w:color w:val="000000"/>
        </w:rPr>
      </w:pPr>
    </w:p>
    <w:p w14:paraId="6F043E2B" w14:textId="6D3116A1" w:rsidR="00364B36" w:rsidRDefault="00364B36" w:rsidP="00364B36">
      <w:pPr>
        <w:pBdr>
          <w:top w:val="nil"/>
          <w:left w:val="nil"/>
          <w:bottom w:val="nil"/>
          <w:right w:val="nil"/>
          <w:between w:val="nil"/>
        </w:pBdr>
        <w:spacing w:after="0"/>
        <w:ind w:left="1800" w:firstLine="0"/>
        <w:jc w:val="both"/>
        <w:rPr>
          <w:rFonts w:eastAsia="Arial" w:cs="Arial"/>
          <w:color w:val="000000"/>
        </w:rPr>
      </w:pPr>
    </w:p>
    <w:p w14:paraId="5E011ABB" w14:textId="77777777" w:rsidR="00364B36" w:rsidRDefault="00364B36" w:rsidP="00364B36">
      <w:pPr>
        <w:pBdr>
          <w:top w:val="nil"/>
          <w:left w:val="nil"/>
          <w:bottom w:val="nil"/>
          <w:right w:val="nil"/>
          <w:between w:val="nil"/>
        </w:pBdr>
        <w:spacing w:after="0"/>
        <w:ind w:left="1800" w:firstLine="0"/>
        <w:jc w:val="both"/>
        <w:rPr>
          <w:rFonts w:eastAsia="Arial" w:cs="Arial"/>
          <w:color w:val="000000"/>
        </w:rPr>
      </w:pPr>
    </w:p>
    <w:p w14:paraId="11F8AA67" w14:textId="77777777" w:rsidR="00364B36" w:rsidRDefault="00364B36" w:rsidP="00364B36">
      <w:pPr>
        <w:pBdr>
          <w:top w:val="nil"/>
          <w:left w:val="nil"/>
          <w:bottom w:val="nil"/>
          <w:right w:val="nil"/>
          <w:between w:val="nil"/>
        </w:pBdr>
        <w:spacing w:after="0"/>
        <w:ind w:left="1800" w:firstLine="0"/>
        <w:jc w:val="both"/>
        <w:rPr>
          <w:rFonts w:eastAsia="Arial" w:cs="Arial"/>
          <w:color w:val="000000"/>
        </w:rPr>
      </w:pPr>
    </w:p>
    <w:p w14:paraId="2A9766D4" w14:textId="1B921213" w:rsidR="00364B36" w:rsidRDefault="00364B36" w:rsidP="00364B36">
      <w:pPr>
        <w:pBdr>
          <w:top w:val="nil"/>
          <w:left w:val="nil"/>
          <w:bottom w:val="nil"/>
          <w:right w:val="nil"/>
          <w:between w:val="nil"/>
        </w:pBdr>
        <w:spacing w:after="0"/>
        <w:ind w:left="1800" w:firstLine="0"/>
        <w:jc w:val="both"/>
        <w:rPr>
          <w:rFonts w:eastAsia="Arial" w:cs="Arial"/>
          <w:color w:val="000000"/>
        </w:rPr>
      </w:pPr>
    </w:p>
    <w:p w14:paraId="691B7537" w14:textId="77777777" w:rsidR="00364B36" w:rsidRDefault="00364B36" w:rsidP="00364B36">
      <w:pPr>
        <w:pBdr>
          <w:top w:val="nil"/>
          <w:left w:val="nil"/>
          <w:bottom w:val="nil"/>
          <w:right w:val="nil"/>
          <w:between w:val="nil"/>
        </w:pBdr>
        <w:spacing w:after="0"/>
        <w:ind w:left="1800" w:firstLine="0"/>
        <w:jc w:val="both"/>
        <w:rPr>
          <w:rFonts w:eastAsia="Arial" w:cs="Arial"/>
          <w:color w:val="000000"/>
        </w:rPr>
      </w:pPr>
    </w:p>
    <w:p w14:paraId="2B9F7169" w14:textId="77777777" w:rsidR="00364B36" w:rsidRDefault="00364B36" w:rsidP="00364B36">
      <w:pPr>
        <w:pBdr>
          <w:top w:val="nil"/>
          <w:left w:val="nil"/>
          <w:bottom w:val="nil"/>
          <w:right w:val="nil"/>
          <w:between w:val="nil"/>
        </w:pBdr>
        <w:spacing w:after="0"/>
        <w:ind w:left="1800" w:firstLine="0"/>
        <w:jc w:val="both"/>
        <w:rPr>
          <w:rFonts w:eastAsia="Arial" w:cs="Arial"/>
          <w:color w:val="000000"/>
        </w:rPr>
      </w:pPr>
    </w:p>
    <w:p w14:paraId="73EE61A7" w14:textId="77777777" w:rsidR="00364B36" w:rsidRDefault="00364B36" w:rsidP="00364B36">
      <w:pPr>
        <w:pBdr>
          <w:top w:val="nil"/>
          <w:left w:val="nil"/>
          <w:bottom w:val="nil"/>
          <w:right w:val="nil"/>
          <w:between w:val="nil"/>
        </w:pBdr>
        <w:spacing w:after="0"/>
        <w:ind w:left="1800" w:firstLine="0"/>
        <w:jc w:val="both"/>
        <w:rPr>
          <w:rFonts w:eastAsia="Arial" w:cs="Arial"/>
          <w:color w:val="000000"/>
        </w:rPr>
      </w:pPr>
    </w:p>
    <w:p w14:paraId="7EFD1B84" w14:textId="77777777" w:rsidR="00364B36" w:rsidRDefault="00364B36" w:rsidP="00364B36">
      <w:pPr>
        <w:pBdr>
          <w:top w:val="nil"/>
          <w:left w:val="nil"/>
          <w:bottom w:val="nil"/>
          <w:right w:val="nil"/>
          <w:between w:val="nil"/>
        </w:pBdr>
        <w:spacing w:after="0"/>
        <w:ind w:left="1800" w:firstLine="0"/>
        <w:jc w:val="both"/>
        <w:rPr>
          <w:rFonts w:eastAsia="Arial" w:cs="Arial"/>
          <w:color w:val="000000"/>
        </w:rPr>
      </w:pPr>
    </w:p>
    <w:p w14:paraId="081E64D5" w14:textId="77777777" w:rsidR="00364B36" w:rsidRDefault="00364B36" w:rsidP="00364B36">
      <w:pPr>
        <w:pBdr>
          <w:top w:val="nil"/>
          <w:left w:val="nil"/>
          <w:bottom w:val="nil"/>
          <w:right w:val="nil"/>
          <w:between w:val="nil"/>
        </w:pBdr>
        <w:spacing w:after="0"/>
        <w:ind w:left="1800" w:firstLine="0"/>
        <w:jc w:val="both"/>
        <w:rPr>
          <w:rFonts w:eastAsia="Arial" w:cs="Arial"/>
          <w:color w:val="000000"/>
        </w:rPr>
      </w:pPr>
    </w:p>
    <w:p w14:paraId="087B8B39" w14:textId="1A35C88C" w:rsidR="00364B36" w:rsidRDefault="00364B36" w:rsidP="00364B36">
      <w:pPr>
        <w:pBdr>
          <w:top w:val="nil"/>
          <w:left w:val="nil"/>
          <w:bottom w:val="nil"/>
          <w:right w:val="nil"/>
          <w:between w:val="nil"/>
        </w:pBdr>
        <w:spacing w:after="0"/>
        <w:ind w:left="1800" w:firstLine="0"/>
        <w:jc w:val="both"/>
        <w:rPr>
          <w:rFonts w:eastAsia="Arial" w:cs="Arial"/>
          <w:color w:val="000000"/>
        </w:rPr>
      </w:pPr>
    </w:p>
    <w:p w14:paraId="2B1A7735" w14:textId="65C16ACA" w:rsidR="00364B36" w:rsidRDefault="00364B36" w:rsidP="00364B36">
      <w:pPr>
        <w:pBdr>
          <w:top w:val="nil"/>
          <w:left w:val="nil"/>
          <w:bottom w:val="nil"/>
          <w:right w:val="nil"/>
          <w:between w:val="nil"/>
        </w:pBdr>
        <w:spacing w:after="0"/>
        <w:ind w:left="1800" w:firstLine="0"/>
        <w:jc w:val="both"/>
        <w:rPr>
          <w:rFonts w:eastAsia="Arial" w:cs="Arial"/>
          <w:color w:val="000000"/>
        </w:rPr>
      </w:pPr>
    </w:p>
    <w:p w14:paraId="1943B593" w14:textId="482AC184" w:rsidR="00364B36" w:rsidRDefault="00EE0AF8" w:rsidP="00364B36">
      <w:pPr>
        <w:pBdr>
          <w:top w:val="nil"/>
          <w:left w:val="nil"/>
          <w:bottom w:val="nil"/>
          <w:right w:val="nil"/>
          <w:between w:val="nil"/>
        </w:pBdr>
        <w:spacing w:after="0"/>
        <w:ind w:left="1800" w:firstLine="0"/>
        <w:jc w:val="both"/>
        <w:rPr>
          <w:rFonts w:eastAsia="Arial" w:cs="Arial"/>
          <w:color w:val="000000"/>
        </w:rPr>
      </w:pPr>
      <w:r>
        <w:rPr>
          <w:noProof/>
        </w:rPr>
        <mc:AlternateContent>
          <mc:Choice Requires="wps">
            <w:drawing>
              <wp:anchor distT="0" distB="0" distL="114300" distR="114300" simplePos="0" relativeHeight="251696128" behindDoc="0" locked="0" layoutInCell="1" allowOverlap="1" wp14:anchorId="5E942237" wp14:editId="07677E82">
                <wp:simplePos x="0" y="0"/>
                <wp:positionH relativeFrom="column">
                  <wp:posOffset>804545</wp:posOffset>
                </wp:positionH>
                <wp:positionV relativeFrom="paragraph">
                  <wp:posOffset>34290</wp:posOffset>
                </wp:positionV>
                <wp:extent cx="4272915" cy="178435"/>
                <wp:effectExtent l="0" t="0" r="0" b="0"/>
                <wp:wrapSquare wrapText="bothSides"/>
                <wp:docPr id="19" name="Cuadro de texto 19"/>
                <wp:cNvGraphicFramePr/>
                <a:graphic xmlns:a="http://schemas.openxmlformats.org/drawingml/2006/main">
                  <a:graphicData uri="http://schemas.microsoft.com/office/word/2010/wordprocessingShape">
                    <wps:wsp>
                      <wps:cNvSpPr txBox="1"/>
                      <wps:spPr>
                        <a:xfrm>
                          <a:off x="0" y="0"/>
                          <a:ext cx="4272915" cy="178435"/>
                        </a:xfrm>
                        <a:prstGeom prst="rect">
                          <a:avLst/>
                        </a:prstGeom>
                        <a:solidFill>
                          <a:prstClr val="white"/>
                        </a:solidFill>
                        <a:ln>
                          <a:noFill/>
                        </a:ln>
                      </wps:spPr>
                      <wps:txbx>
                        <w:txbxContent>
                          <w:p w14:paraId="46B907D0" w14:textId="6AB96A30" w:rsidR="00ED57B1" w:rsidRPr="00EE0AF8" w:rsidRDefault="00ED57B1" w:rsidP="00EE0AF8">
                            <w:pPr>
                              <w:pStyle w:val="Descripcin"/>
                              <w:spacing w:after="0"/>
                              <w:jc w:val="center"/>
                              <w:rPr>
                                <w:rFonts w:eastAsia="Arial" w:cs="Arial"/>
                                <w:noProof/>
                                <w:color w:val="auto"/>
                              </w:rPr>
                            </w:pPr>
                            <w:bookmarkStart w:id="50" w:name="_Toc57223728"/>
                            <w:r w:rsidRPr="00EE0AF8">
                              <w:rPr>
                                <w:color w:val="auto"/>
                              </w:rPr>
                              <w:t xml:space="preserve">Ilustración </w:t>
                            </w:r>
                            <w:r w:rsidRPr="00EE0AF8">
                              <w:rPr>
                                <w:color w:val="auto"/>
                              </w:rPr>
                              <w:fldChar w:fldCharType="begin"/>
                            </w:r>
                            <w:r w:rsidRPr="00EE0AF8">
                              <w:rPr>
                                <w:color w:val="auto"/>
                              </w:rPr>
                              <w:instrText xml:space="preserve"> SEQ Ilustración \* ARABIC </w:instrText>
                            </w:r>
                            <w:r w:rsidRPr="00EE0AF8">
                              <w:rPr>
                                <w:color w:val="auto"/>
                              </w:rPr>
                              <w:fldChar w:fldCharType="separate"/>
                            </w:r>
                            <w:r>
                              <w:rPr>
                                <w:noProof/>
                                <w:color w:val="auto"/>
                              </w:rPr>
                              <w:t>10</w:t>
                            </w:r>
                            <w:r w:rsidRPr="00EE0AF8">
                              <w:rPr>
                                <w:color w:val="auto"/>
                              </w:rPr>
                              <w:fldChar w:fldCharType="end"/>
                            </w:r>
                            <w:r w:rsidRPr="00EE0AF8">
                              <w:rPr>
                                <w:color w:val="auto"/>
                              </w:rPr>
                              <w:t>.Distribución espacio temporal l de SO2 para Fuentes Móviles</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42237" id="Cuadro de texto 19" o:spid="_x0000_s1038" type="#_x0000_t202" style="position:absolute;left:0;text-align:left;margin-left:63.35pt;margin-top:2.7pt;width:336.45pt;height:14.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" stroked="f">
                <v:textbox inset="0,0,0,0">
                  <w:txbxContent>
                    <w:p w14:paraId="46B907D0" w14:textId="6AB96A30" w:rsidR="00ED57B1" w:rsidRPr="00EE0AF8" w:rsidRDefault="00ED57B1" w:rsidP="00EE0AF8">
                      <w:pPr>
                        <w:pStyle w:val="Descripcin"/>
                        <w:spacing w:after="0"/>
                        <w:jc w:val="center"/>
                        <w:rPr>
                          <w:rFonts w:eastAsia="Arial" w:cs="Arial"/>
                          <w:noProof/>
                          <w:color w:val="auto"/>
                        </w:rPr>
                      </w:pPr>
                      <w:bookmarkStart w:id="55" w:name="_Toc57223728"/>
                      <w:r w:rsidRPr="00EE0AF8">
                        <w:rPr>
                          <w:color w:val="auto"/>
                        </w:rPr>
                        <w:t xml:space="preserve">Ilustración </w:t>
                      </w:r>
                      <w:r w:rsidRPr="00EE0AF8">
                        <w:rPr>
                          <w:color w:val="auto"/>
                        </w:rPr>
                        <w:fldChar w:fldCharType="begin"/>
                      </w:r>
                      <w:r w:rsidRPr="00EE0AF8">
                        <w:rPr>
                          <w:color w:val="auto"/>
                        </w:rPr>
                        <w:instrText xml:space="preserve"> SEQ Ilustración \* ARABIC </w:instrText>
                      </w:r>
                      <w:r w:rsidRPr="00EE0AF8">
                        <w:rPr>
                          <w:color w:val="auto"/>
                        </w:rPr>
                        <w:fldChar w:fldCharType="separate"/>
                      </w:r>
                      <w:r>
                        <w:rPr>
                          <w:noProof/>
                          <w:color w:val="auto"/>
                        </w:rPr>
                        <w:t>10</w:t>
                      </w:r>
                      <w:r w:rsidRPr="00EE0AF8">
                        <w:rPr>
                          <w:color w:val="auto"/>
                        </w:rPr>
                        <w:fldChar w:fldCharType="end"/>
                      </w:r>
                      <w:r w:rsidRPr="00EE0AF8">
                        <w:rPr>
                          <w:color w:val="auto"/>
                        </w:rPr>
                        <w:t>.Distribución espacio temporal l de SO2 para Fuentes Móviles</w:t>
                      </w:r>
                      <w:bookmarkEnd w:id="55"/>
                    </w:p>
                  </w:txbxContent>
                </v:textbox>
                <w10:wrap type="square"/>
              </v:shape>
            </w:pict>
          </mc:Fallback>
        </mc:AlternateContent>
      </w:r>
    </w:p>
    <w:p w14:paraId="67A531BB" w14:textId="110808D5" w:rsidR="00364B36" w:rsidRPr="000735D7" w:rsidRDefault="00364B36" w:rsidP="00364B36">
      <w:pPr>
        <w:pBdr>
          <w:top w:val="nil"/>
          <w:left w:val="nil"/>
          <w:bottom w:val="nil"/>
          <w:right w:val="nil"/>
          <w:between w:val="nil"/>
        </w:pBdr>
        <w:spacing w:after="0" w:line="240" w:lineRule="auto"/>
        <w:ind w:firstLine="0"/>
        <w:jc w:val="center"/>
        <w:rPr>
          <w:i/>
          <w:iCs/>
          <w:sz w:val="18"/>
          <w:szCs w:val="18"/>
        </w:rPr>
      </w:pPr>
      <w:r w:rsidRPr="000735D7">
        <w:rPr>
          <w:i/>
          <w:iCs/>
          <w:sz w:val="18"/>
          <w:szCs w:val="18"/>
        </w:rPr>
        <w:t>Fuente: Informe Anual de Calidad del Aire 2019</w:t>
      </w:r>
    </w:p>
    <w:p w14:paraId="626A54E9" w14:textId="4512CC48" w:rsidR="0065400E" w:rsidRDefault="0065400E" w:rsidP="00B0763C">
      <w:pPr>
        <w:pBdr>
          <w:top w:val="nil"/>
          <w:left w:val="nil"/>
          <w:bottom w:val="nil"/>
          <w:right w:val="nil"/>
          <w:between w:val="nil"/>
        </w:pBdr>
        <w:spacing w:after="0"/>
        <w:ind w:left="567"/>
        <w:jc w:val="both"/>
        <w:rPr>
          <w:rFonts w:eastAsia="Arial" w:cs="Arial"/>
          <w:color w:val="000000"/>
        </w:rPr>
      </w:pPr>
      <w:r>
        <w:lastRenderedPageBreak/>
        <w:t xml:space="preserve">Según los resultados y como se observa en los mapas anteriores los puntos críticos de emisión de PM2.5 se concentran en las zonas cercanas a los puntos de monitoreo con mayor volumen vehicular dentro de la ciudad, como los son: Autopista Norte x Calle 170, Autopista Norte x Calle 127, Av. Ciudad de Cali x Calle 80, Av. Ciudad de Cali x Calle 13, Avenida Carrera 68 x AC26, Av. </w:t>
      </w:r>
      <w:r w:rsidRPr="00461837">
        <w:rPr>
          <w:lang w:val="en-US"/>
        </w:rPr>
        <w:t xml:space="preserve">Boyacá x AC13, Av. NQS x AC53, AK68 x Av. </w:t>
      </w:r>
      <w:r w:rsidR="00B0763C">
        <w:t>A</w:t>
      </w:r>
      <w:r>
        <w:t>méricas</w:t>
      </w:r>
    </w:p>
    <w:p w14:paraId="6A2E1071" w14:textId="6A9206B8" w:rsidR="0087017A" w:rsidRPr="004B2EEA" w:rsidRDefault="004B2EEA" w:rsidP="004B2EEA">
      <w:pPr>
        <w:pStyle w:val="Ttulo3"/>
        <w:ind w:firstLine="0"/>
      </w:pPr>
      <w:bookmarkStart w:id="51" w:name="_Toc57238623"/>
      <w:r>
        <w:t xml:space="preserve">2.2.4 </w:t>
      </w:r>
      <w:r w:rsidR="006371D8" w:rsidRPr="004B2EEA">
        <w:t>Contaminación visual</w:t>
      </w:r>
      <w:r w:rsidR="00BE6C11" w:rsidRPr="004B2EEA">
        <w:t>.</w:t>
      </w:r>
      <w:bookmarkEnd w:id="51"/>
    </w:p>
    <w:p w14:paraId="794F3A87" w14:textId="77777777" w:rsidR="00842C77" w:rsidRPr="00842C77" w:rsidRDefault="00842C77" w:rsidP="00842C77">
      <w:pPr>
        <w:pStyle w:val="Prrafodelista"/>
        <w:pBdr>
          <w:top w:val="nil"/>
          <w:left w:val="nil"/>
          <w:bottom w:val="nil"/>
          <w:right w:val="nil"/>
          <w:between w:val="nil"/>
        </w:pBdr>
        <w:spacing w:after="0"/>
        <w:ind w:firstLine="0"/>
        <w:jc w:val="both"/>
        <w:rPr>
          <w:rFonts w:eastAsia="Arial" w:cs="Arial"/>
          <w:b/>
          <w:bCs/>
          <w:color w:val="000000"/>
        </w:rPr>
      </w:pPr>
    </w:p>
    <w:p w14:paraId="04399E10" w14:textId="7D33AEE9" w:rsidR="0087017A" w:rsidRDefault="006371D8" w:rsidP="00B0763C">
      <w:pPr>
        <w:pStyle w:val="Ttulo3"/>
        <w:keepNext w:val="0"/>
        <w:keepLines w:val="0"/>
        <w:shd w:val="clear" w:color="auto" w:fill="FFFFFF"/>
        <w:spacing w:before="0"/>
        <w:rPr>
          <w:rFonts w:eastAsia="Arial" w:cs="Arial"/>
          <w:b w:val="0"/>
          <w:szCs w:val="22"/>
        </w:rPr>
      </w:pPr>
      <w:bookmarkStart w:id="52" w:name="_heading=h.i59oowmzz4d6" w:colFirst="0" w:colLast="0"/>
      <w:bookmarkStart w:id="53" w:name="_Toc56987039"/>
      <w:bookmarkStart w:id="54" w:name="_Toc56987302"/>
      <w:bookmarkStart w:id="55" w:name="_Toc57238624"/>
      <w:bookmarkEnd w:id="52"/>
      <w:r w:rsidRPr="00B0763C">
        <w:rPr>
          <w:rFonts w:eastAsia="Arial" w:cs="Arial"/>
          <w:b w:val="0"/>
          <w:szCs w:val="22"/>
        </w:rPr>
        <w:t>Elementos de Publicidad Exterior Visual Desmontada Anualmente - PEVA (Número) (Observatorio Ambiental de Bogotá)</w:t>
      </w:r>
      <w:bookmarkEnd w:id="53"/>
      <w:bookmarkEnd w:id="54"/>
      <w:bookmarkEnd w:id="55"/>
    </w:p>
    <w:p w14:paraId="66F4A72F" w14:textId="391FEE39" w:rsidR="00E169A6" w:rsidRPr="002B0D0C" w:rsidRDefault="00E169A6" w:rsidP="00E169A6">
      <w:pPr>
        <w:pStyle w:val="Descripcin"/>
        <w:keepNext/>
        <w:jc w:val="center"/>
        <w:rPr>
          <w:color w:val="auto"/>
        </w:rPr>
      </w:pPr>
      <w:bookmarkStart w:id="56" w:name="_Toc57227494"/>
      <w:r w:rsidRPr="002B0D0C">
        <w:rPr>
          <w:color w:val="auto"/>
        </w:rPr>
        <w:t xml:space="preserve">Tabla </w:t>
      </w:r>
      <w:r w:rsidRPr="002B0D0C">
        <w:rPr>
          <w:color w:val="auto"/>
        </w:rPr>
        <w:fldChar w:fldCharType="begin"/>
      </w:r>
      <w:r w:rsidRPr="002B0D0C">
        <w:rPr>
          <w:color w:val="auto"/>
        </w:rPr>
        <w:instrText xml:space="preserve"> SEQ Tabla \* ARABIC </w:instrText>
      </w:r>
      <w:r w:rsidRPr="002B0D0C">
        <w:rPr>
          <w:color w:val="auto"/>
        </w:rPr>
        <w:fldChar w:fldCharType="separate"/>
      </w:r>
      <w:r w:rsidR="00C37D33">
        <w:rPr>
          <w:noProof/>
          <w:color w:val="auto"/>
        </w:rPr>
        <w:t>9</w:t>
      </w:r>
      <w:r w:rsidRPr="002B0D0C">
        <w:rPr>
          <w:color w:val="auto"/>
        </w:rPr>
        <w:fldChar w:fldCharType="end"/>
      </w:r>
      <w:r w:rsidRPr="002B0D0C">
        <w:rPr>
          <w:color w:val="auto"/>
        </w:rPr>
        <w:t>. Elementos de Publicidad Exterior Visual Desmontada Anualmente.</w:t>
      </w:r>
      <w:bookmarkEnd w:id="56"/>
    </w:p>
    <w:p w14:paraId="42CA08CC" w14:textId="40225B50" w:rsidR="00B0763C" w:rsidRDefault="00B0763C" w:rsidP="00542587">
      <w:pPr>
        <w:jc w:val="center"/>
      </w:pPr>
      <w:r>
        <w:rPr>
          <w:noProof/>
        </w:rPr>
        <w:drawing>
          <wp:inline distT="0" distB="0" distL="0" distR="0" wp14:anchorId="0817D884" wp14:editId="1FE8C6E1">
            <wp:extent cx="4887440" cy="3352800"/>
            <wp:effectExtent l="0" t="0" r="8890"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911895" cy="3369576"/>
                    </a:xfrm>
                    <a:prstGeom prst="rect">
                      <a:avLst/>
                    </a:prstGeom>
                    <a:noFill/>
                    <a:ln>
                      <a:noFill/>
                    </a:ln>
                  </pic:spPr>
                </pic:pic>
              </a:graphicData>
            </a:graphic>
          </wp:inline>
        </w:drawing>
      </w:r>
    </w:p>
    <w:p w14:paraId="6DE4139F" w14:textId="0FB34DD1" w:rsidR="00542587" w:rsidRPr="002B0D0C" w:rsidRDefault="00542587" w:rsidP="00542587">
      <w:pPr>
        <w:spacing w:after="0" w:line="240" w:lineRule="auto"/>
        <w:jc w:val="center"/>
        <w:rPr>
          <w:i/>
          <w:iCs/>
          <w:sz w:val="18"/>
          <w:szCs w:val="18"/>
        </w:rPr>
      </w:pPr>
      <w:r w:rsidRPr="002B0D0C">
        <w:rPr>
          <w:rFonts w:eastAsia="Arial" w:cs="Arial"/>
          <w:i/>
          <w:iCs/>
          <w:sz w:val="18"/>
          <w:szCs w:val="18"/>
        </w:rPr>
        <w:t>Fuente: Observatorio Ambiental de Bogotá</w:t>
      </w:r>
    </w:p>
    <w:p w14:paraId="31718B94" w14:textId="1700F9D9" w:rsidR="0087017A" w:rsidRPr="002B0D0C" w:rsidRDefault="0087017A" w:rsidP="00542587">
      <w:pPr>
        <w:spacing w:after="0" w:line="240" w:lineRule="auto"/>
        <w:jc w:val="both"/>
        <w:rPr>
          <w:rFonts w:eastAsia="Arial" w:cs="Arial"/>
          <w:i/>
          <w:iCs/>
        </w:rPr>
      </w:pPr>
    </w:p>
    <w:p w14:paraId="36EF281E" w14:textId="77777777" w:rsidR="004B2EEA" w:rsidRDefault="004B2EEA" w:rsidP="004B2EEA">
      <w:pPr>
        <w:pStyle w:val="Ttulo2"/>
        <w:ind w:firstLine="0"/>
      </w:pPr>
      <w:bookmarkStart w:id="57" w:name="_Toc57238625"/>
      <w:r>
        <w:t xml:space="preserve">2.3 </w:t>
      </w:r>
      <w:r w:rsidR="006371D8" w:rsidRPr="00842C77">
        <w:t>Agua</w:t>
      </w:r>
      <w:bookmarkEnd w:id="57"/>
    </w:p>
    <w:p w14:paraId="5CF0EF4D" w14:textId="6C1DDAE6" w:rsidR="0087017A" w:rsidRPr="004B2EEA" w:rsidRDefault="004B2EEA" w:rsidP="004B2EEA">
      <w:pPr>
        <w:pStyle w:val="Ttulo3"/>
        <w:ind w:firstLine="0"/>
        <w:rPr>
          <w:bCs/>
        </w:rPr>
      </w:pPr>
      <w:bookmarkStart w:id="58" w:name="_Toc57238626"/>
      <w:r>
        <w:t xml:space="preserve">2.3.1 </w:t>
      </w:r>
      <w:r w:rsidR="006371D8" w:rsidRPr="00921F0C">
        <w:t>Hidrografía</w:t>
      </w:r>
      <w:bookmarkEnd w:id="58"/>
    </w:p>
    <w:p w14:paraId="27E974E9" w14:textId="00EE8842" w:rsidR="001913AA" w:rsidRDefault="001913AA" w:rsidP="004B2EEA">
      <w:pPr>
        <w:pBdr>
          <w:top w:val="nil"/>
          <w:left w:val="nil"/>
          <w:bottom w:val="nil"/>
          <w:right w:val="nil"/>
          <w:between w:val="nil"/>
        </w:pBdr>
        <w:spacing w:after="0"/>
        <w:jc w:val="both"/>
        <w:rPr>
          <w:rFonts w:eastAsia="Arial" w:cs="Arial"/>
          <w:b/>
          <w:bCs/>
          <w:color w:val="000000"/>
        </w:rPr>
      </w:pPr>
      <w:r>
        <w:rPr>
          <w:rFonts w:eastAsia="Arial" w:cs="Arial"/>
          <w:b/>
          <w:bCs/>
          <w:color w:val="000000"/>
        </w:rPr>
        <w:t>Cuenca del Río Fucha.</w:t>
      </w:r>
    </w:p>
    <w:p w14:paraId="14576E4A" w14:textId="22E273B5" w:rsidR="0087017A" w:rsidRDefault="00762CF8" w:rsidP="004B2EEA">
      <w:pPr>
        <w:pBdr>
          <w:top w:val="nil"/>
          <w:left w:val="nil"/>
          <w:bottom w:val="nil"/>
          <w:right w:val="nil"/>
          <w:between w:val="nil"/>
        </w:pBdr>
        <w:spacing w:after="0"/>
        <w:ind w:left="567"/>
        <w:jc w:val="both"/>
        <w:rPr>
          <w:rFonts w:eastAsia="Arial" w:cs="Arial"/>
        </w:rPr>
      </w:pPr>
      <w:r>
        <w:t xml:space="preserve">La localidad de Los Mártires presenta un territorio plano por donde cruzan los canales del río Fucha San Francisco (Calle 13) y de Los Comuneros (Calle 6). El río Fucha conforma el límite sur de la localidad. </w:t>
      </w:r>
    </w:p>
    <w:p w14:paraId="7D08049C" w14:textId="59BA00F2" w:rsidR="0087017A" w:rsidRDefault="006371D8" w:rsidP="00762CF8">
      <w:pPr>
        <w:pBdr>
          <w:top w:val="nil"/>
          <w:left w:val="nil"/>
          <w:bottom w:val="nil"/>
          <w:right w:val="nil"/>
          <w:between w:val="nil"/>
        </w:pBdr>
        <w:spacing w:after="0"/>
        <w:ind w:left="720"/>
        <w:jc w:val="both"/>
        <w:rPr>
          <w:rFonts w:eastAsia="Arial" w:cs="Arial"/>
        </w:rPr>
      </w:pPr>
      <w:r>
        <w:rPr>
          <w:rFonts w:eastAsia="Arial" w:cs="Arial"/>
        </w:rPr>
        <w:lastRenderedPageBreak/>
        <w:t xml:space="preserve">La cuenca del río Fucha dada su conformación y longitud, se subdivide en tres sectores, cuenca alta la cual corresponde a la parte montañosa, cuenca media que inicia a la entrada del río al </w:t>
      </w:r>
      <w:r w:rsidR="00007448">
        <w:rPr>
          <w:rFonts w:eastAsia="Arial" w:cs="Arial"/>
        </w:rPr>
        <w:t>perímetro</w:t>
      </w:r>
      <w:r>
        <w:rPr>
          <w:rFonts w:eastAsia="Arial" w:cs="Arial"/>
        </w:rPr>
        <w:t xml:space="preserve"> urbano de la ciudad de Bogotá hasta la avenida Boyacá y la cuenca baja desde la avenida Boyacá hasta su desembocadura en el Río Bogotá. Está localizada en el sector centro-sur del Distrito Capital, y drena las aguas de oriente a occidente para finalmente entregarlas al rió Bogotá (CSHB, 2008).</w:t>
      </w:r>
    </w:p>
    <w:p w14:paraId="37A5DE8A" w14:textId="77777777" w:rsidR="0087017A" w:rsidRDefault="0087017A" w:rsidP="00762CF8">
      <w:pPr>
        <w:pBdr>
          <w:top w:val="nil"/>
          <w:left w:val="nil"/>
          <w:bottom w:val="nil"/>
          <w:right w:val="nil"/>
          <w:between w:val="nil"/>
        </w:pBdr>
        <w:spacing w:after="0"/>
        <w:ind w:left="720"/>
        <w:jc w:val="both"/>
        <w:rPr>
          <w:rFonts w:eastAsia="Arial" w:cs="Arial"/>
        </w:rPr>
      </w:pPr>
    </w:p>
    <w:p w14:paraId="7157365C" w14:textId="77777777" w:rsidR="0087017A" w:rsidRDefault="006371D8" w:rsidP="00762CF8">
      <w:pPr>
        <w:pBdr>
          <w:top w:val="nil"/>
          <w:left w:val="nil"/>
          <w:bottom w:val="nil"/>
          <w:right w:val="nil"/>
          <w:between w:val="nil"/>
        </w:pBdr>
        <w:spacing w:after="0"/>
        <w:ind w:left="720"/>
        <w:jc w:val="both"/>
        <w:rPr>
          <w:rFonts w:eastAsia="Arial" w:cs="Arial"/>
        </w:rPr>
      </w:pPr>
      <w:r>
        <w:rPr>
          <w:rFonts w:eastAsia="Arial" w:cs="Arial"/>
        </w:rPr>
        <w:t xml:space="preserve">Así, el río Fucha es uno de los cuerpos hídricos más importantes de la sabana de Bogotá con una longitud de 17,30 km, cual nace en los cerros orientales y como producto de la confluencia de las quebradas La Osa y Upata. La cuenca tiene un área total de drenaje de 17.536 Ha, correspondientes 12.991 ha urbanas y 4.545 Ha en la parte rural (correspondiente a los cerros orientales); y </w:t>
      </w:r>
      <w:proofErr w:type="gramStart"/>
      <w:r>
        <w:rPr>
          <w:rFonts w:eastAsia="Arial" w:cs="Arial"/>
        </w:rPr>
        <w:t>una pendiente promedio</w:t>
      </w:r>
      <w:proofErr w:type="gramEnd"/>
      <w:r>
        <w:rPr>
          <w:rFonts w:eastAsia="Arial" w:cs="Arial"/>
        </w:rPr>
        <w:t xml:space="preserve"> del 5.3 % (POMCA río Fucha).</w:t>
      </w:r>
    </w:p>
    <w:p w14:paraId="39CD6CA5" w14:textId="77777777" w:rsidR="0087017A" w:rsidRDefault="0087017A" w:rsidP="00762CF8">
      <w:pPr>
        <w:pBdr>
          <w:top w:val="nil"/>
          <w:left w:val="nil"/>
          <w:bottom w:val="nil"/>
          <w:right w:val="nil"/>
          <w:between w:val="nil"/>
        </w:pBdr>
        <w:spacing w:after="0"/>
        <w:ind w:left="720"/>
        <w:jc w:val="both"/>
        <w:rPr>
          <w:rFonts w:eastAsia="Arial" w:cs="Arial"/>
        </w:rPr>
      </w:pPr>
    </w:p>
    <w:p w14:paraId="18CDCE49" w14:textId="5A2B280B" w:rsidR="0087017A" w:rsidRDefault="006371D8" w:rsidP="00762CF8">
      <w:pPr>
        <w:pBdr>
          <w:top w:val="nil"/>
          <w:left w:val="nil"/>
          <w:bottom w:val="nil"/>
          <w:right w:val="nil"/>
          <w:between w:val="nil"/>
        </w:pBdr>
        <w:spacing w:after="0"/>
        <w:ind w:left="720"/>
        <w:jc w:val="both"/>
        <w:rPr>
          <w:rFonts w:eastAsia="Arial" w:cs="Arial"/>
        </w:rPr>
      </w:pPr>
      <w:r>
        <w:rPr>
          <w:rFonts w:eastAsia="Arial" w:cs="Arial"/>
        </w:rPr>
        <w:t xml:space="preserve">El eje principal de drenaje de la cuenca inicia en la zona suroriental de la misma donde recibe el nombre de </w:t>
      </w:r>
      <w:r w:rsidR="00007448">
        <w:rPr>
          <w:rFonts w:eastAsia="Arial" w:cs="Arial"/>
        </w:rPr>
        <w:t>río</w:t>
      </w:r>
      <w:r>
        <w:rPr>
          <w:rFonts w:eastAsia="Arial" w:cs="Arial"/>
        </w:rPr>
        <w:t xml:space="preserve"> San Cristóbal. En este punto se encuentra con su cauce natural que toma dirección oriente occidente. A partir de la carrera 7 hasta la carrera 96 (en inmediaciones de la Zona Franca de Fontibón) se encuentra canalizado con una sección trapezoidal revestida en concreto, y por último desemboca en el río Bogotá (CSHB, 2008). </w:t>
      </w:r>
    </w:p>
    <w:p w14:paraId="2A6F7FEB" w14:textId="77777777" w:rsidR="0087017A" w:rsidRDefault="0087017A" w:rsidP="00762CF8">
      <w:pPr>
        <w:pBdr>
          <w:top w:val="nil"/>
          <w:left w:val="nil"/>
          <w:bottom w:val="nil"/>
          <w:right w:val="nil"/>
          <w:between w:val="nil"/>
        </w:pBdr>
        <w:spacing w:after="0"/>
        <w:ind w:left="720"/>
        <w:jc w:val="both"/>
        <w:rPr>
          <w:rFonts w:eastAsia="Arial" w:cs="Arial"/>
        </w:rPr>
      </w:pPr>
    </w:p>
    <w:p w14:paraId="128B1318" w14:textId="3A02DD41" w:rsidR="0087017A" w:rsidRDefault="006371D8" w:rsidP="00762CF8">
      <w:pPr>
        <w:pBdr>
          <w:top w:val="nil"/>
          <w:left w:val="nil"/>
          <w:bottom w:val="nil"/>
          <w:right w:val="nil"/>
          <w:between w:val="nil"/>
        </w:pBdr>
        <w:spacing w:after="0"/>
        <w:ind w:left="720"/>
        <w:jc w:val="both"/>
        <w:rPr>
          <w:rFonts w:eastAsia="Arial" w:cs="Arial"/>
        </w:rPr>
      </w:pPr>
      <w:r>
        <w:rPr>
          <w:rFonts w:eastAsia="Arial" w:cs="Arial"/>
        </w:rPr>
        <w:t xml:space="preserve">Hacen parte de esta cuenca los canales San Blas, Los Comuneros, Albina, </w:t>
      </w:r>
      <w:r w:rsidR="00007448">
        <w:rPr>
          <w:rFonts w:eastAsia="Arial" w:cs="Arial"/>
        </w:rPr>
        <w:t>Río</w:t>
      </w:r>
      <w:r>
        <w:rPr>
          <w:rFonts w:eastAsia="Arial" w:cs="Arial"/>
        </w:rPr>
        <w:t xml:space="preserve"> Seco y las quebradas Finca, San José, La Pena, Los Laches, San Cristóbal, San Francisco, Santa Isabel, Honda, entre otras. Como ecosistemas asociados se encuentran los humedales de Techo, El Burro, La Vaca y Capellanía. La red de alcantarillado de esta cuenca consta de tres sistemas (combinado, pluvial y sanitario) con una longitud existente de 1.787 km. La red combinada (aguas lluvias y aguas negras juntas) está localizada al oriente de la cuenca y drena, a través de los respectivos canales e interceptores, hacia un área en el occidente donde el sistema está separado (pluvial y sanitario) (CSHB, 2008).</w:t>
      </w:r>
    </w:p>
    <w:p w14:paraId="1AE97141" w14:textId="08AA97B8" w:rsidR="001913AA" w:rsidRDefault="001913AA" w:rsidP="00762CF8">
      <w:pPr>
        <w:pBdr>
          <w:top w:val="nil"/>
          <w:left w:val="nil"/>
          <w:bottom w:val="nil"/>
          <w:right w:val="nil"/>
          <w:between w:val="nil"/>
        </w:pBdr>
        <w:spacing w:after="0"/>
        <w:ind w:left="720"/>
        <w:jc w:val="both"/>
        <w:rPr>
          <w:rFonts w:eastAsia="Arial" w:cs="Arial"/>
        </w:rPr>
      </w:pPr>
    </w:p>
    <w:p w14:paraId="0B0EF409" w14:textId="698C1972" w:rsidR="001913AA" w:rsidRPr="00542587" w:rsidRDefault="001913AA" w:rsidP="00542587">
      <w:pPr>
        <w:pBdr>
          <w:top w:val="nil"/>
          <w:left w:val="nil"/>
          <w:bottom w:val="nil"/>
          <w:right w:val="nil"/>
          <w:between w:val="nil"/>
        </w:pBdr>
        <w:spacing w:after="0"/>
        <w:ind w:left="567"/>
        <w:jc w:val="both"/>
        <w:rPr>
          <w:rFonts w:eastAsia="Arial" w:cs="Arial"/>
          <w:b/>
          <w:bCs/>
        </w:rPr>
      </w:pPr>
      <w:r w:rsidRPr="001913AA">
        <w:rPr>
          <w:rFonts w:eastAsia="Arial" w:cs="Arial"/>
          <w:b/>
          <w:bCs/>
        </w:rPr>
        <w:t>Pozos de Agua Subterránea con Sellamiento Temporal</w:t>
      </w:r>
      <w:r>
        <w:rPr>
          <w:rFonts w:eastAsia="Arial" w:cs="Arial"/>
          <w:b/>
          <w:bCs/>
        </w:rPr>
        <w:t>.</w:t>
      </w:r>
    </w:p>
    <w:p w14:paraId="45585391" w14:textId="7888B8E1" w:rsidR="001913AA" w:rsidRDefault="001913AA" w:rsidP="001913AA">
      <w:pPr>
        <w:pBdr>
          <w:top w:val="nil"/>
          <w:left w:val="nil"/>
          <w:bottom w:val="nil"/>
          <w:right w:val="nil"/>
          <w:between w:val="nil"/>
        </w:pBdr>
        <w:spacing w:after="0"/>
        <w:ind w:left="720"/>
        <w:jc w:val="both"/>
        <w:rPr>
          <w:rFonts w:eastAsia="Arial" w:cs="Arial"/>
        </w:rPr>
      </w:pPr>
      <w:r w:rsidRPr="001913AA">
        <w:rPr>
          <w:rFonts w:eastAsia="Arial" w:cs="Arial"/>
        </w:rPr>
        <w:t xml:space="preserve">El agua subterránea representa más del 30% de las reservas de agua dulce del planeta, sin embargo, hay que tener en cuenta que el agua de las capas de hielo y glaciares no está disponible para uso. </w:t>
      </w:r>
      <w:r w:rsidR="00007448">
        <w:rPr>
          <w:rFonts w:eastAsia="Arial" w:cs="Arial"/>
        </w:rPr>
        <w:t>A</w:t>
      </w:r>
      <w:r w:rsidR="00007448" w:rsidRPr="001913AA">
        <w:rPr>
          <w:rFonts w:eastAsia="Arial" w:cs="Arial"/>
        </w:rPr>
        <w:t>sí</w:t>
      </w:r>
      <w:r w:rsidRPr="001913AA">
        <w:rPr>
          <w:rFonts w:eastAsia="Arial" w:cs="Arial"/>
        </w:rPr>
        <w:t xml:space="preserve"> las cosas, se precisa que el agua subterránea representa más del 97% del agua dulce disponible del planeta.</w:t>
      </w:r>
    </w:p>
    <w:p w14:paraId="4AC7D73B" w14:textId="77777777" w:rsidR="001913AA" w:rsidRPr="001913AA" w:rsidRDefault="001913AA" w:rsidP="001913AA">
      <w:pPr>
        <w:pBdr>
          <w:top w:val="nil"/>
          <w:left w:val="nil"/>
          <w:bottom w:val="nil"/>
          <w:right w:val="nil"/>
          <w:between w:val="nil"/>
        </w:pBdr>
        <w:spacing w:after="0"/>
        <w:ind w:left="720"/>
        <w:jc w:val="both"/>
        <w:rPr>
          <w:rFonts w:eastAsia="Arial" w:cs="Arial"/>
        </w:rPr>
      </w:pPr>
    </w:p>
    <w:p w14:paraId="688AAD6D" w14:textId="6F98C587" w:rsidR="001913AA" w:rsidRDefault="001913AA" w:rsidP="001913AA">
      <w:pPr>
        <w:pBdr>
          <w:top w:val="nil"/>
          <w:left w:val="nil"/>
          <w:bottom w:val="nil"/>
          <w:right w:val="nil"/>
          <w:between w:val="nil"/>
        </w:pBdr>
        <w:spacing w:after="0"/>
        <w:ind w:left="720"/>
        <w:jc w:val="both"/>
        <w:rPr>
          <w:rFonts w:eastAsia="Arial" w:cs="Arial"/>
        </w:rPr>
      </w:pPr>
      <w:r w:rsidRPr="001913AA">
        <w:rPr>
          <w:rFonts w:eastAsia="Arial" w:cs="Arial"/>
        </w:rPr>
        <w:t xml:space="preserve">El agua subterránea es el agua que se filtra a través de grietas, poros de las rocas y sedimentos que yacen debajo de la superficie de la tierra, acumulándose en las capas arenosas o rocas porosas del subsuelo, </w:t>
      </w:r>
      <w:proofErr w:type="gramStart"/>
      <w:r w:rsidRPr="001913AA">
        <w:rPr>
          <w:rFonts w:eastAsia="Arial" w:cs="Arial"/>
        </w:rPr>
        <w:t>provienen  de</w:t>
      </w:r>
      <w:proofErr w:type="gramEnd"/>
      <w:r w:rsidRPr="001913AA">
        <w:rPr>
          <w:rFonts w:eastAsia="Arial" w:cs="Arial"/>
        </w:rPr>
        <w:t xml:space="preserve"> las aguas lluvias, lagos y ríos.  El agua infiltrada se almacena </w:t>
      </w:r>
      <w:proofErr w:type="gramStart"/>
      <w:r w:rsidRPr="001913AA">
        <w:rPr>
          <w:rFonts w:eastAsia="Arial" w:cs="Arial"/>
        </w:rPr>
        <w:t>y  circula</w:t>
      </w:r>
      <w:proofErr w:type="gramEnd"/>
      <w:r w:rsidRPr="001913AA">
        <w:rPr>
          <w:rFonts w:eastAsia="Arial" w:cs="Arial"/>
        </w:rPr>
        <w:t xml:space="preserve"> por las formaciones geológicas que tienen poros o vacíos, denominadas Acuíferos.</w:t>
      </w:r>
    </w:p>
    <w:p w14:paraId="52DEB6BD" w14:textId="77777777" w:rsidR="001913AA" w:rsidRPr="001913AA" w:rsidRDefault="001913AA" w:rsidP="001913AA">
      <w:pPr>
        <w:pBdr>
          <w:top w:val="nil"/>
          <w:left w:val="nil"/>
          <w:bottom w:val="nil"/>
          <w:right w:val="nil"/>
          <w:between w:val="nil"/>
        </w:pBdr>
        <w:spacing w:after="0"/>
        <w:ind w:left="720"/>
        <w:jc w:val="both"/>
        <w:rPr>
          <w:rFonts w:eastAsia="Arial" w:cs="Arial"/>
        </w:rPr>
      </w:pPr>
    </w:p>
    <w:p w14:paraId="2B2C20F1" w14:textId="451563AD" w:rsidR="001913AA" w:rsidRDefault="001913AA" w:rsidP="001913AA">
      <w:pPr>
        <w:pBdr>
          <w:top w:val="nil"/>
          <w:left w:val="nil"/>
          <w:bottom w:val="nil"/>
          <w:right w:val="nil"/>
          <w:between w:val="nil"/>
        </w:pBdr>
        <w:spacing w:after="0"/>
        <w:ind w:left="720"/>
        <w:jc w:val="both"/>
        <w:rPr>
          <w:rFonts w:eastAsia="Arial" w:cs="Arial"/>
        </w:rPr>
      </w:pPr>
      <w:r w:rsidRPr="001913AA">
        <w:rPr>
          <w:rFonts w:eastAsia="Arial" w:cs="Arial"/>
        </w:rPr>
        <w:t>Los acuíferos desempeñan un papel fundamental como conductores de las aguas desde sus zonas de recarga hasta lagos, ríos, manantiales, pantanos y captaciones construidas por el hombre y como almacenadores de estos recursos que posteriormente pueden ser aprovechados para satisfacer las necesidades de abastecimiento de sus usuarios.</w:t>
      </w:r>
    </w:p>
    <w:p w14:paraId="0ED15308" w14:textId="77777777" w:rsidR="001913AA" w:rsidRPr="001913AA" w:rsidRDefault="001913AA" w:rsidP="001913AA">
      <w:pPr>
        <w:pBdr>
          <w:top w:val="nil"/>
          <w:left w:val="nil"/>
          <w:bottom w:val="nil"/>
          <w:right w:val="nil"/>
          <w:between w:val="nil"/>
        </w:pBdr>
        <w:spacing w:after="0"/>
        <w:ind w:firstLine="0"/>
        <w:jc w:val="both"/>
        <w:rPr>
          <w:rFonts w:eastAsia="Arial" w:cs="Arial"/>
        </w:rPr>
      </w:pPr>
    </w:p>
    <w:p w14:paraId="0F6B02D2" w14:textId="0D904D91" w:rsidR="001913AA" w:rsidRDefault="001913AA" w:rsidP="001913AA">
      <w:pPr>
        <w:pBdr>
          <w:top w:val="nil"/>
          <w:left w:val="nil"/>
          <w:bottom w:val="nil"/>
          <w:right w:val="nil"/>
          <w:between w:val="nil"/>
        </w:pBdr>
        <w:spacing w:after="0"/>
        <w:ind w:left="720"/>
        <w:jc w:val="both"/>
        <w:rPr>
          <w:rFonts w:eastAsia="Arial" w:cs="Arial"/>
        </w:rPr>
      </w:pPr>
      <w:r w:rsidRPr="001913AA">
        <w:rPr>
          <w:rFonts w:eastAsia="Arial" w:cs="Arial"/>
        </w:rPr>
        <w:t xml:space="preserve">El sellamiento temporal es la actividad que se realiza en una captación de aguas subterráneas, con el propósito de impedir la explotación del recurso hídrico subterráneo, donde se inhabilita la estructura física </w:t>
      </w:r>
      <w:proofErr w:type="gramStart"/>
      <w:r w:rsidRPr="001913AA">
        <w:rPr>
          <w:rFonts w:eastAsia="Arial" w:cs="Arial"/>
        </w:rPr>
        <w:t>de acuerdo al</w:t>
      </w:r>
      <w:proofErr w:type="gramEnd"/>
      <w:r w:rsidRPr="001913AA">
        <w:rPr>
          <w:rFonts w:eastAsia="Arial" w:cs="Arial"/>
        </w:rPr>
        <w:t xml:space="preserve"> tipo de captación por medio de sellos.</w:t>
      </w:r>
    </w:p>
    <w:p w14:paraId="73FC6E7E" w14:textId="77777777" w:rsidR="001913AA" w:rsidRPr="001913AA" w:rsidRDefault="001913AA" w:rsidP="001913AA">
      <w:pPr>
        <w:pBdr>
          <w:top w:val="nil"/>
          <w:left w:val="nil"/>
          <w:bottom w:val="nil"/>
          <w:right w:val="nil"/>
          <w:between w:val="nil"/>
        </w:pBdr>
        <w:spacing w:after="0"/>
        <w:ind w:left="720"/>
        <w:jc w:val="both"/>
        <w:rPr>
          <w:rFonts w:eastAsia="Arial" w:cs="Arial"/>
        </w:rPr>
      </w:pPr>
    </w:p>
    <w:p w14:paraId="1757EC83" w14:textId="3627C82B" w:rsidR="001913AA" w:rsidRDefault="001913AA" w:rsidP="001913AA">
      <w:pPr>
        <w:pBdr>
          <w:top w:val="nil"/>
          <w:left w:val="nil"/>
          <w:bottom w:val="nil"/>
          <w:right w:val="nil"/>
          <w:between w:val="nil"/>
        </w:pBdr>
        <w:spacing w:after="0"/>
        <w:ind w:left="720"/>
        <w:jc w:val="both"/>
        <w:rPr>
          <w:rFonts w:eastAsia="Arial" w:cs="Arial"/>
        </w:rPr>
      </w:pPr>
      <w:r w:rsidRPr="001913AA">
        <w:rPr>
          <w:rFonts w:eastAsia="Arial" w:cs="Arial"/>
        </w:rPr>
        <w:t>Es una medida preventiva que realiza la Autoridad Ambiental Distrital por estudios o evaluaciones de un posible incumplimiento (tanto legal como técnico), o por procesos en trámite que se estén realizando.</w:t>
      </w:r>
    </w:p>
    <w:p w14:paraId="2F36DEC8" w14:textId="77777777" w:rsidR="001913AA" w:rsidRPr="001913AA" w:rsidRDefault="001913AA" w:rsidP="001913AA">
      <w:pPr>
        <w:pBdr>
          <w:top w:val="nil"/>
          <w:left w:val="nil"/>
          <w:bottom w:val="nil"/>
          <w:right w:val="nil"/>
          <w:between w:val="nil"/>
        </w:pBdr>
        <w:spacing w:after="0"/>
        <w:ind w:left="720"/>
        <w:jc w:val="both"/>
        <w:rPr>
          <w:rFonts w:eastAsia="Arial" w:cs="Arial"/>
        </w:rPr>
      </w:pPr>
    </w:p>
    <w:p w14:paraId="723ABBE4" w14:textId="77777777" w:rsidR="00542587" w:rsidRDefault="001913AA" w:rsidP="001913AA">
      <w:pPr>
        <w:pBdr>
          <w:top w:val="nil"/>
          <w:left w:val="nil"/>
          <w:bottom w:val="nil"/>
          <w:right w:val="nil"/>
          <w:between w:val="nil"/>
        </w:pBdr>
        <w:spacing w:after="0"/>
        <w:ind w:left="720"/>
        <w:jc w:val="both"/>
        <w:rPr>
          <w:rFonts w:eastAsia="Arial" w:cs="Arial"/>
        </w:rPr>
      </w:pPr>
      <w:r w:rsidRPr="001913AA">
        <w:rPr>
          <w:rFonts w:eastAsia="Arial" w:cs="Arial"/>
        </w:rPr>
        <w:t xml:space="preserve">Consiste en el retiro de la tubería de producción y el sistema de explotación. Cuando el pozo es del tipo EYECTOR, que quiere decir que fluye de forma natural, sin ningún tipo de extracción, se debe garantizar que el agua subterránea que emana del </w:t>
      </w:r>
      <w:proofErr w:type="gramStart"/>
      <w:r w:rsidRPr="001913AA">
        <w:rPr>
          <w:rFonts w:eastAsia="Arial" w:cs="Arial"/>
        </w:rPr>
        <w:t>mismo,</w:t>
      </w:r>
      <w:proofErr w:type="gramEnd"/>
      <w:r w:rsidRPr="001913AA">
        <w:rPr>
          <w:rFonts w:eastAsia="Arial" w:cs="Arial"/>
        </w:rPr>
        <w:t xml:space="preserve"> sea dirigida, al sistema de alcantarillado o vallado, con el fin de que no se dé uso del recurso subterráneo sin la debida concesión. </w:t>
      </w:r>
    </w:p>
    <w:p w14:paraId="0A90CFBF" w14:textId="77777777" w:rsidR="00542587" w:rsidRDefault="00542587" w:rsidP="001913AA">
      <w:pPr>
        <w:pBdr>
          <w:top w:val="nil"/>
          <w:left w:val="nil"/>
          <w:bottom w:val="nil"/>
          <w:right w:val="nil"/>
          <w:between w:val="nil"/>
        </w:pBdr>
        <w:spacing w:after="0"/>
        <w:ind w:left="720"/>
        <w:jc w:val="both"/>
        <w:rPr>
          <w:rFonts w:eastAsia="Arial" w:cs="Arial"/>
        </w:rPr>
      </w:pPr>
    </w:p>
    <w:p w14:paraId="2319163D" w14:textId="52470B7E" w:rsidR="001913AA" w:rsidRDefault="001913AA" w:rsidP="001913AA">
      <w:pPr>
        <w:pBdr>
          <w:top w:val="nil"/>
          <w:left w:val="nil"/>
          <w:bottom w:val="nil"/>
          <w:right w:val="nil"/>
          <w:between w:val="nil"/>
        </w:pBdr>
        <w:spacing w:after="0"/>
        <w:ind w:left="720"/>
        <w:jc w:val="both"/>
        <w:rPr>
          <w:rFonts w:eastAsia="Arial" w:cs="Arial"/>
        </w:rPr>
      </w:pPr>
      <w:r w:rsidRPr="001913AA">
        <w:rPr>
          <w:rFonts w:eastAsia="Arial" w:cs="Arial"/>
        </w:rPr>
        <w:t>El sellamiento temporal se debe realizar basándose en el INSTRUCTIVO PARA SELLAMIENTO TEMPORAL DE POZOS – 126PM04-PR95-I-A5-V2.0, el sellamiento debe ser adecuado por el propietario de la captación, bajo supervisión de funcionarios o contratistas de la Secretaria Distrital de Ambiente – SDA, quienes verifican que las medidas ambientales se lleven a cabo.</w:t>
      </w:r>
    </w:p>
    <w:p w14:paraId="2FC60AAE" w14:textId="4FF9DF12" w:rsidR="001913AA" w:rsidRPr="001913AA" w:rsidRDefault="001913AA" w:rsidP="001913AA">
      <w:pPr>
        <w:pBdr>
          <w:top w:val="nil"/>
          <w:left w:val="nil"/>
          <w:bottom w:val="nil"/>
          <w:right w:val="nil"/>
          <w:between w:val="nil"/>
        </w:pBdr>
        <w:spacing w:after="0"/>
        <w:ind w:left="720"/>
        <w:jc w:val="both"/>
        <w:rPr>
          <w:rFonts w:eastAsia="Arial" w:cs="Arial"/>
        </w:rPr>
      </w:pPr>
      <w:r w:rsidRPr="001913AA">
        <w:rPr>
          <w:rFonts w:eastAsia="Arial" w:cs="Arial"/>
        </w:rPr>
        <w:t>Objeto del indicador</w:t>
      </w:r>
      <w:r>
        <w:rPr>
          <w:rFonts w:eastAsia="Arial" w:cs="Arial"/>
        </w:rPr>
        <w:t xml:space="preserve">: </w:t>
      </w:r>
      <w:r w:rsidRPr="001913AA">
        <w:rPr>
          <w:rFonts w:eastAsia="Arial" w:cs="Arial"/>
        </w:rPr>
        <w:t xml:space="preserve">Identificar la cantidad de pozos que se encuentran deshabilitados a causa de sellamientos temporales y dar una idea de la capacidad de control y </w:t>
      </w:r>
      <w:r w:rsidRPr="001913AA">
        <w:rPr>
          <w:rFonts w:eastAsia="Arial" w:cs="Arial"/>
        </w:rPr>
        <w:lastRenderedPageBreak/>
        <w:t>seguimiento de la Secretaría Distrital de Ambiente, sobre las explotaciones de aguas subterráneas.</w:t>
      </w:r>
    </w:p>
    <w:p w14:paraId="5B9476EC" w14:textId="77777777" w:rsidR="001913AA" w:rsidRPr="001913AA" w:rsidRDefault="001913AA" w:rsidP="001913AA">
      <w:pPr>
        <w:pBdr>
          <w:top w:val="nil"/>
          <w:left w:val="nil"/>
          <w:bottom w:val="nil"/>
          <w:right w:val="nil"/>
          <w:between w:val="nil"/>
        </w:pBdr>
        <w:spacing w:after="0"/>
        <w:ind w:left="720"/>
        <w:jc w:val="both"/>
        <w:rPr>
          <w:rFonts w:eastAsia="Arial" w:cs="Arial"/>
        </w:rPr>
      </w:pPr>
    </w:p>
    <w:p w14:paraId="69A32109" w14:textId="670D6B3B" w:rsidR="001913AA" w:rsidRDefault="001913AA" w:rsidP="001913AA">
      <w:pPr>
        <w:pBdr>
          <w:top w:val="nil"/>
          <w:left w:val="nil"/>
          <w:bottom w:val="nil"/>
          <w:right w:val="nil"/>
          <w:between w:val="nil"/>
        </w:pBdr>
        <w:spacing w:after="0"/>
        <w:ind w:left="720"/>
        <w:jc w:val="both"/>
        <w:rPr>
          <w:rFonts w:eastAsia="Arial" w:cs="Arial"/>
        </w:rPr>
      </w:pPr>
      <w:r w:rsidRPr="001913AA">
        <w:rPr>
          <w:rFonts w:eastAsia="Arial" w:cs="Arial"/>
        </w:rPr>
        <w:t>Este indicador muestra el número de pozos con sellamiento temporal y su relación con el número total de puntos de extracción de agua subterránea que están registrados en la Secretaría Distrital de Ambiente.</w:t>
      </w:r>
    </w:p>
    <w:p w14:paraId="08D7A8B4" w14:textId="77777777" w:rsidR="001913AA" w:rsidRPr="001913AA" w:rsidRDefault="001913AA" w:rsidP="001913AA">
      <w:pPr>
        <w:pBdr>
          <w:top w:val="nil"/>
          <w:left w:val="nil"/>
          <w:bottom w:val="nil"/>
          <w:right w:val="nil"/>
          <w:between w:val="nil"/>
        </w:pBdr>
        <w:spacing w:after="0"/>
        <w:ind w:left="720"/>
        <w:jc w:val="both"/>
        <w:rPr>
          <w:rFonts w:eastAsia="Arial" w:cs="Arial"/>
        </w:rPr>
      </w:pPr>
    </w:p>
    <w:p w14:paraId="4AB66537" w14:textId="709C201A" w:rsidR="001913AA" w:rsidRDefault="001913AA" w:rsidP="001913AA">
      <w:pPr>
        <w:pBdr>
          <w:top w:val="nil"/>
          <w:left w:val="nil"/>
          <w:bottom w:val="nil"/>
          <w:right w:val="nil"/>
          <w:between w:val="nil"/>
        </w:pBdr>
        <w:spacing w:after="0"/>
        <w:ind w:left="720"/>
        <w:jc w:val="both"/>
        <w:rPr>
          <w:rFonts w:eastAsia="Arial" w:cs="Arial"/>
        </w:rPr>
      </w:pPr>
      <w:r w:rsidRPr="001913AA">
        <w:rPr>
          <w:rFonts w:eastAsia="Arial" w:cs="Arial"/>
        </w:rPr>
        <w:t xml:space="preserve">El sellamiento temporal es la actividad que se realiza en una captación de aguas subterráneas con el propósito de impedir la explotación del recurso hídrico subterráneo, donde se inhabilita la estructura física </w:t>
      </w:r>
      <w:proofErr w:type="gramStart"/>
      <w:r w:rsidRPr="001913AA">
        <w:rPr>
          <w:rFonts w:eastAsia="Arial" w:cs="Arial"/>
        </w:rPr>
        <w:t>de acuerdo al</w:t>
      </w:r>
      <w:proofErr w:type="gramEnd"/>
      <w:r w:rsidRPr="001913AA">
        <w:rPr>
          <w:rFonts w:eastAsia="Arial" w:cs="Arial"/>
        </w:rPr>
        <w:t xml:space="preserve"> tipo de captación por medio de sellos. Es una medida preventiva que realiza la Autoridad Ambiental Distrital por estudios o evaluaciones de un posible incumplimiento (tanto legal como técnico) o por procesos en trámite que se estén realizando.</w:t>
      </w:r>
    </w:p>
    <w:p w14:paraId="30888247" w14:textId="77777777" w:rsidR="00542587" w:rsidRDefault="00542587" w:rsidP="001913AA">
      <w:pPr>
        <w:pBdr>
          <w:top w:val="nil"/>
          <w:left w:val="nil"/>
          <w:bottom w:val="nil"/>
          <w:right w:val="nil"/>
          <w:between w:val="nil"/>
        </w:pBdr>
        <w:spacing w:after="0"/>
        <w:ind w:left="720"/>
        <w:jc w:val="both"/>
        <w:rPr>
          <w:rFonts w:eastAsia="Arial" w:cs="Arial"/>
        </w:rPr>
      </w:pPr>
    </w:p>
    <w:p w14:paraId="639903F2" w14:textId="1C1CE681" w:rsidR="002B0D0C" w:rsidRPr="002B0D0C" w:rsidRDefault="002B0D0C" w:rsidP="002B0D0C">
      <w:pPr>
        <w:pStyle w:val="Descripcin"/>
        <w:keepNext/>
        <w:jc w:val="center"/>
        <w:rPr>
          <w:color w:val="auto"/>
        </w:rPr>
      </w:pPr>
      <w:bookmarkStart w:id="59" w:name="_Toc57227495"/>
      <w:r w:rsidRPr="002B0D0C">
        <w:rPr>
          <w:color w:val="auto"/>
        </w:rPr>
        <w:t xml:space="preserve">Tabla </w:t>
      </w:r>
      <w:r w:rsidRPr="002B0D0C">
        <w:rPr>
          <w:color w:val="auto"/>
        </w:rPr>
        <w:fldChar w:fldCharType="begin"/>
      </w:r>
      <w:r w:rsidRPr="002B0D0C">
        <w:rPr>
          <w:color w:val="auto"/>
        </w:rPr>
        <w:instrText xml:space="preserve"> SEQ Tabla \* ARABIC </w:instrText>
      </w:r>
      <w:r w:rsidRPr="002B0D0C">
        <w:rPr>
          <w:color w:val="auto"/>
        </w:rPr>
        <w:fldChar w:fldCharType="separate"/>
      </w:r>
      <w:r w:rsidR="00C37D33">
        <w:rPr>
          <w:noProof/>
          <w:color w:val="auto"/>
        </w:rPr>
        <w:t>10</w:t>
      </w:r>
      <w:r w:rsidRPr="002B0D0C">
        <w:rPr>
          <w:color w:val="auto"/>
        </w:rPr>
        <w:fldChar w:fldCharType="end"/>
      </w:r>
      <w:r w:rsidRPr="002B0D0C">
        <w:rPr>
          <w:color w:val="auto"/>
        </w:rPr>
        <w:t>. Pozos de Agua Subterránea con Sellamiento Temporal - %PST (%)</w:t>
      </w:r>
      <w:bookmarkEnd w:id="59"/>
    </w:p>
    <w:p w14:paraId="40F0A050" w14:textId="38E0D76C" w:rsidR="00542587" w:rsidRDefault="00542587" w:rsidP="00542587">
      <w:pPr>
        <w:pBdr>
          <w:top w:val="nil"/>
          <w:left w:val="nil"/>
          <w:bottom w:val="nil"/>
          <w:right w:val="nil"/>
          <w:between w:val="nil"/>
        </w:pBdr>
        <w:spacing w:after="0"/>
        <w:ind w:left="720"/>
        <w:jc w:val="center"/>
        <w:rPr>
          <w:rFonts w:eastAsia="Arial" w:cs="Arial"/>
        </w:rPr>
      </w:pPr>
      <w:r>
        <w:rPr>
          <w:rFonts w:eastAsia="Arial" w:cs="Arial"/>
          <w:noProof/>
        </w:rPr>
        <w:drawing>
          <wp:inline distT="0" distB="0" distL="0" distR="0" wp14:anchorId="24DCD4C6" wp14:editId="3A3D95CD">
            <wp:extent cx="4919598" cy="3710763"/>
            <wp:effectExtent l="0" t="0" r="0" b="4445"/>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82369" cy="3758110"/>
                    </a:xfrm>
                    <a:prstGeom prst="rect">
                      <a:avLst/>
                    </a:prstGeom>
                    <a:noFill/>
                    <a:ln>
                      <a:noFill/>
                    </a:ln>
                  </pic:spPr>
                </pic:pic>
              </a:graphicData>
            </a:graphic>
          </wp:inline>
        </w:drawing>
      </w:r>
    </w:p>
    <w:p w14:paraId="48243210" w14:textId="77777777" w:rsidR="00542587" w:rsidRPr="002B0D0C" w:rsidRDefault="00542587" w:rsidP="00542587">
      <w:pPr>
        <w:spacing w:after="0" w:line="240" w:lineRule="auto"/>
        <w:jc w:val="center"/>
        <w:rPr>
          <w:i/>
          <w:iCs/>
          <w:sz w:val="18"/>
          <w:szCs w:val="18"/>
        </w:rPr>
      </w:pPr>
      <w:r w:rsidRPr="002B0D0C">
        <w:rPr>
          <w:rFonts w:eastAsia="Arial" w:cs="Arial"/>
          <w:i/>
          <w:iCs/>
          <w:sz w:val="18"/>
          <w:szCs w:val="18"/>
        </w:rPr>
        <w:t>Fuente: Observatorio Ambiental de Bogotá</w:t>
      </w:r>
    </w:p>
    <w:p w14:paraId="669AD182" w14:textId="77777777" w:rsidR="004B2EEA" w:rsidRPr="002B0D0C" w:rsidRDefault="004B2EEA" w:rsidP="004B2EEA">
      <w:pPr>
        <w:pBdr>
          <w:top w:val="nil"/>
          <w:left w:val="nil"/>
          <w:bottom w:val="nil"/>
          <w:right w:val="nil"/>
          <w:between w:val="nil"/>
        </w:pBdr>
        <w:spacing w:after="0"/>
        <w:ind w:firstLine="0"/>
        <w:jc w:val="both"/>
        <w:rPr>
          <w:rFonts w:eastAsia="Arial" w:cs="Arial"/>
          <w:i/>
          <w:iCs/>
          <w:color w:val="000000"/>
        </w:rPr>
      </w:pPr>
    </w:p>
    <w:p w14:paraId="060AAF90" w14:textId="0F84B133" w:rsidR="0087017A" w:rsidRPr="00B32668" w:rsidRDefault="004B2EEA" w:rsidP="004B2EEA">
      <w:pPr>
        <w:pStyle w:val="Ttulo3"/>
      </w:pPr>
      <w:bookmarkStart w:id="60" w:name="_Toc57238627"/>
      <w:r>
        <w:lastRenderedPageBreak/>
        <w:t xml:space="preserve">2.3.2 </w:t>
      </w:r>
      <w:r w:rsidR="00007448" w:rsidRPr="00B32668">
        <w:t>Precipitaciones.</w:t>
      </w:r>
      <w:bookmarkEnd w:id="60"/>
    </w:p>
    <w:p w14:paraId="6C542085" w14:textId="45B3CF0A" w:rsidR="00B32668" w:rsidRDefault="009A11B8" w:rsidP="00B32668">
      <w:pPr>
        <w:pBdr>
          <w:top w:val="nil"/>
          <w:left w:val="nil"/>
          <w:bottom w:val="nil"/>
          <w:right w:val="nil"/>
          <w:between w:val="nil"/>
        </w:pBdr>
        <w:spacing w:after="0"/>
        <w:ind w:left="720"/>
        <w:jc w:val="both"/>
        <w:rPr>
          <w:rFonts w:eastAsia="Arial" w:cs="Arial"/>
          <w:color w:val="000000"/>
        </w:rPr>
      </w:pPr>
      <w:r>
        <w:rPr>
          <w:rFonts w:eastAsia="Arial" w:cs="Arial"/>
          <w:color w:val="000000"/>
        </w:rPr>
        <w:t>L</w:t>
      </w:r>
      <w:r w:rsidRPr="009A11B8">
        <w:rPr>
          <w:rFonts w:eastAsia="Arial" w:cs="Arial"/>
          <w:color w:val="000000"/>
        </w:rPr>
        <w:t>a ciudad de Bogotá cuenta con una temperatura promedio de 14 °C y lluvia promedio anual de 840 mm</w:t>
      </w:r>
      <w:r w:rsidR="00B32668">
        <w:rPr>
          <w:rFonts w:eastAsia="Arial" w:cs="Arial"/>
          <w:color w:val="000000"/>
        </w:rPr>
        <w:t>.</w:t>
      </w:r>
    </w:p>
    <w:p w14:paraId="1E1A8B80" w14:textId="77777777" w:rsidR="00B32668" w:rsidRDefault="00B32668" w:rsidP="00B32668">
      <w:pPr>
        <w:pBdr>
          <w:top w:val="nil"/>
          <w:left w:val="nil"/>
          <w:bottom w:val="nil"/>
          <w:right w:val="nil"/>
          <w:between w:val="nil"/>
        </w:pBdr>
        <w:spacing w:after="0"/>
        <w:ind w:left="720"/>
        <w:jc w:val="both"/>
        <w:rPr>
          <w:rFonts w:eastAsia="Arial" w:cs="Arial"/>
          <w:color w:val="000000"/>
        </w:rPr>
      </w:pPr>
    </w:p>
    <w:p w14:paraId="7510BA01" w14:textId="7E24AB20" w:rsidR="009A11B8" w:rsidRDefault="009A11B8" w:rsidP="00B32668">
      <w:pPr>
        <w:pBdr>
          <w:top w:val="nil"/>
          <w:left w:val="nil"/>
          <w:bottom w:val="nil"/>
          <w:right w:val="nil"/>
          <w:between w:val="nil"/>
        </w:pBdr>
        <w:spacing w:after="0"/>
        <w:ind w:left="720"/>
        <w:jc w:val="both"/>
      </w:pPr>
      <w:r>
        <w:t>En cuanto a la distribución espacial de las lluvias</w:t>
      </w:r>
      <w:r w:rsidR="00A702A9">
        <w:t xml:space="preserve"> en el </w:t>
      </w:r>
      <w:proofErr w:type="gramStart"/>
      <w:r w:rsidR="00A702A9">
        <w:t xml:space="preserve">2019, </w:t>
      </w:r>
      <w:r>
        <w:t xml:space="preserve"> los</w:t>
      </w:r>
      <w:proofErr w:type="gramEnd"/>
      <w:r>
        <w:t xml:space="preserve"> mayores niveles de precipitación se presentaron hacia el occidente de la ciudad, representado por la estación de Kennedy, donde se registró un total de 1566 mm de lluvia aproximadamente. Sin embargo, hacia el flanco oriental de la ciudad, donde se tiene influencia de los cerros orientales, se registraron importantes volúmenes de lluvia como los que se reportan en las estaciones de San Cristóbal y Usaquén.</w:t>
      </w:r>
    </w:p>
    <w:p w14:paraId="043ADF46" w14:textId="6B24B8A1" w:rsidR="009A11B8" w:rsidRDefault="007A5CCF" w:rsidP="009A11B8">
      <w:pPr>
        <w:pBdr>
          <w:top w:val="nil"/>
          <w:left w:val="nil"/>
          <w:bottom w:val="nil"/>
          <w:right w:val="nil"/>
          <w:between w:val="nil"/>
        </w:pBdr>
        <w:spacing w:after="0"/>
        <w:ind w:left="720" w:firstLine="0"/>
        <w:jc w:val="both"/>
      </w:pPr>
      <w:r>
        <w:rPr>
          <w:rFonts w:eastAsia="Arial" w:cs="Arial"/>
          <w:noProof/>
          <w:color w:val="000000"/>
        </w:rPr>
        <w:drawing>
          <wp:anchor distT="0" distB="0" distL="114300" distR="114300" simplePos="0" relativeHeight="251674624" behindDoc="0" locked="0" layoutInCell="1" allowOverlap="1" wp14:anchorId="50B3FE12" wp14:editId="3CFEB28F">
            <wp:simplePos x="0" y="0"/>
            <wp:positionH relativeFrom="margin">
              <wp:posOffset>1233170</wp:posOffset>
            </wp:positionH>
            <wp:positionV relativeFrom="margin">
              <wp:posOffset>2433320</wp:posOffset>
            </wp:positionV>
            <wp:extent cx="4118610" cy="5334000"/>
            <wp:effectExtent l="0" t="0" r="0" b="0"/>
            <wp:wrapSquare wrapText="bothSides"/>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118610" cy="5334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C8A3BD" w14:textId="0F082CB8" w:rsidR="009A11B8" w:rsidRDefault="009A11B8" w:rsidP="00B32668">
      <w:pPr>
        <w:pBdr>
          <w:top w:val="nil"/>
          <w:left w:val="nil"/>
          <w:bottom w:val="nil"/>
          <w:right w:val="nil"/>
          <w:between w:val="nil"/>
        </w:pBdr>
        <w:spacing w:after="0"/>
        <w:ind w:left="720" w:firstLine="0"/>
        <w:jc w:val="center"/>
        <w:rPr>
          <w:rFonts w:eastAsia="Arial" w:cs="Arial"/>
          <w:color w:val="000000"/>
        </w:rPr>
      </w:pPr>
    </w:p>
    <w:p w14:paraId="1BC57729"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1E19A77A"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3D931573"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07CD6A52"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08A1AA17"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4ED5D295"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20792C6C"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091C2369"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374EAE85"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285E1C6A"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441768A6"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67C51486"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43BFF261"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78E8D762"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4FABC7FA"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4F2B3C24"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7EEC4369"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48678627"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79B9100A"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39C77226"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59135178"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2E5EA609"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2C7C0E6D"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3B38C97E"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104DE2DB"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266198F0"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4D97BD8A"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68979549"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33B095AE"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5EF56FA9"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35B3AAAF"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69C73446"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55A36817" w14:textId="77777777" w:rsidR="007A5CCF" w:rsidRDefault="007A5CCF" w:rsidP="00A702A9">
      <w:pPr>
        <w:pBdr>
          <w:top w:val="nil"/>
          <w:left w:val="nil"/>
          <w:bottom w:val="nil"/>
          <w:right w:val="nil"/>
          <w:between w:val="nil"/>
        </w:pBdr>
        <w:spacing w:after="0" w:line="240" w:lineRule="auto"/>
        <w:ind w:left="284"/>
        <w:jc w:val="center"/>
        <w:rPr>
          <w:sz w:val="18"/>
          <w:szCs w:val="18"/>
        </w:rPr>
      </w:pPr>
    </w:p>
    <w:p w14:paraId="544E347B" w14:textId="77270E5E" w:rsidR="007A5CCF" w:rsidRDefault="007A5CCF" w:rsidP="00A702A9">
      <w:pPr>
        <w:pBdr>
          <w:top w:val="nil"/>
          <w:left w:val="nil"/>
          <w:bottom w:val="nil"/>
          <w:right w:val="nil"/>
          <w:between w:val="nil"/>
        </w:pBdr>
        <w:spacing w:after="0" w:line="240" w:lineRule="auto"/>
        <w:ind w:left="284"/>
        <w:jc w:val="center"/>
        <w:rPr>
          <w:sz w:val="18"/>
          <w:szCs w:val="18"/>
        </w:rPr>
      </w:pPr>
    </w:p>
    <w:p w14:paraId="5700FF6F" w14:textId="27C2E94C" w:rsidR="007A5CCF" w:rsidRDefault="007A5CCF" w:rsidP="00A702A9">
      <w:pPr>
        <w:pBdr>
          <w:top w:val="nil"/>
          <w:left w:val="nil"/>
          <w:bottom w:val="nil"/>
          <w:right w:val="nil"/>
          <w:between w:val="nil"/>
        </w:pBdr>
        <w:spacing w:after="0" w:line="240" w:lineRule="auto"/>
        <w:ind w:left="284"/>
        <w:jc w:val="center"/>
        <w:rPr>
          <w:sz w:val="18"/>
          <w:szCs w:val="18"/>
        </w:rPr>
      </w:pPr>
    </w:p>
    <w:p w14:paraId="222560F7" w14:textId="72FC55CF" w:rsidR="007A5CCF" w:rsidRDefault="007A5CCF" w:rsidP="00ED2FD3">
      <w:pPr>
        <w:pBdr>
          <w:top w:val="nil"/>
          <w:left w:val="nil"/>
          <w:bottom w:val="nil"/>
          <w:right w:val="nil"/>
          <w:between w:val="nil"/>
        </w:pBdr>
        <w:spacing w:after="0" w:line="240" w:lineRule="auto"/>
        <w:ind w:left="284"/>
        <w:jc w:val="center"/>
        <w:rPr>
          <w:sz w:val="18"/>
          <w:szCs w:val="18"/>
        </w:rPr>
      </w:pPr>
    </w:p>
    <w:p w14:paraId="717A7DAE" w14:textId="121334A2" w:rsidR="00ED2FD3" w:rsidRDefault="00EE0AF8" w:rsidP="00ED2FD3">
      <w:pPr>
        <w:pBdr>
          <w:top w:val="nil"/>
          <w:left w:val="nil"/>
          <w:bottom w:val="nil"/>
          <w:right w:val="nil"/>
          <w:between w:val="nil"/>
        </w:pBdr>
        <w:spacing w:after="0" w:line="240" w:lineRule="auto"/>
        <w:ind w:left="284"/>
        <w:jc w:val="center"/>
        <w:rPr>
          <w:i/>
          <w:iCs/>
          <w:sz w:val="18"/>
          <w:szCs w:val="18"/>
        </w:rPr>
      </w:pPr>
      <w:r>
        <w:rPr>
          <w:noProof/>
        </w:rPr>
        <mc:AlternateContent>
          <mc:Choice Requires="wps">
            <w:drawing>
              <wp:anchor distT="0" distB="0" distL="114300" distR="114300" simplePos="0" relativeHeight="251698176" behindDoc="0" locked="0" layoutInCell="1" allowOverlap="1" wp14:anchorId="7562083D" wp14:editId="68987B97">
                <wp:simplePos x="0" y="0"/>
                <wp:positionH relativeFrom="column">
                  <wp:posOffset>728345</wp:posOffset>
                </wp:positionH>
                <wp:positionV relativeFrom="paragraph">
                  <wp:posOffset>150495</wp:posOffset>
                </wp:positionV>
                <wp:extent cx="5362575" cy="635"/>
                <wp:effectExtent l="0" t="0" r="9525" b="8255"/>
                <wp:wrapSquare wrapText="bothSides"/>
                <wp:docPr id="20" name="Cuadro de texto 20"/>
                <wp:cNvGraphicFramePr/>
                <a:graphic xmlns:a="http://schemas.openxmlformats.org/drawingml/2006/main">
                  <a:graphicData uri="http://schemas.microsoft.com/office/word/2010/wordprocessingShape">
                    <wps:wsp>
                      <wps:cNvSpPr txBox="1"/>
                      <wps:spPr>
                        <a:xfrm>
                          <a:off x="0" y="0"/>
                          <a:ext cx="5362575" cy="635"/>
                        </a:xfrm>
                        <a:prstGeom prst="rect">
                          <a:avLst/>
                        </a:prstGeom>
                        <a:solidFill>
                          <a:prstClr val="white"/>
                        </a:solidFill>
                        <a:ln>
                          <a:noFill/>
                        </a:ln>
                      </wps:spPr>
                      <wps:txbx>
                        <w:txbxContent>
                          <w:p w14:paraId="425E1CE5" w14:textId="56F0E90C" w:rsidR="00ED57B1" w:rsidRPr="00EE0AF8" w:rsidRDefault="00ED57B1" w:rsidP="00EE0AF8">
                            <w:pPr>
                              <w:pStyle w:val="Descripcin"/>
                              <w:spacing w:after="0"/>
                              <w:rPr>
                                <w:rFonts w:eastAsia="Arial" w:cs="Arial"/>
                                <w:noProof/>
                                <w:color w:val="auto"/>
                              </w:rPr>
                            </w:pPr>
                            <w:bookmarkStart w:id="61" w:name="_Toc57223729"/>
                            <w:r w:rsidRPr="00EE0AF8">
                              <w:rPr>
                                <w:color w:val="auto"/>
                              </w:rPr>
                              <w:t xml:space="preserve">Ilustración </w:t>
                            </w:r>
                            <w:r w:rsidRPr="00EE0AF8">
                              <w:rPr>
                                <w:color w:val="auto"/>
                              </w:rPr>
                              <w:fldChar w:fldCharType="begin"/>
                            </w:r>
                            <w:r w:rsidRPr="00EE0AF8">
                              <w:rPr>
                                <w:color w:val="auto"/>
                              </w:rPr>
                              <w:instrText xml:space="preserve"> SEQ Ilustración \* ARABIC </w:instrText>
                            </w:r>
                            <w:r w:rsidRPr="00EE0AF8">
                              <w:rPr>
                                <w:color w:val="auto"/>
                              </w:rPr>
                              <w:fldChar w:fldCharType="separate"/>
                            </w:r>
                            <w:r>
                              <w:rPr>
                                <w:noProof/>
                                <w:color w:val="auto"/>
                              </w:rPr>
                              <w:t>11</w:t>
                            </w:r>
                            <w:r w:rsidRPr="00EE0AF8">
                              <w:rPr>
                                <w:color w:val="auto"/>
                              </w:rPr>
                              <w:fldChar w:fldCharType="end"/>
                            </w:r>
                            <w:r w:rsidRPr="00EE0AF8">
                              <w:rPr>
                                <w:color w:val="auto"/>
                              </w:rPr>
                              <w:t>.Mapa de distribución espacial de la precipitación en la ciudad de Bogotá RMCAB 2019</w:t>
                            </w:r>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562083D" id="Cuadro de texto 20" o:spid="_x0000_s1039" type="#_x0000_t202" style="position:absolute;left:0;text-align:left;margin-left:57.35pt;margin-top:11.85pt;width:422.25pt;height:.0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" stroked="f">
                <v:textbox style="mso-fit-shape-to-text:t" inset="0,0,0,0">
                  <w:txbxContent>
                    <w:p w14:paraId="425E1CE5" w14:textId="56F0E90C" w:rsidR="00ED57B1" w:rsidRPr="00EE0AF8" w:rsidRDefault="00ED57B1" w:rsidP="00EE0AF8">
                      <w:pPr>
                        <w:pStyle w:val="Descripcin"/>
                        <w:spacing w:after="0"/>
                        <w:rPr>
                          <w:rFonts w:eastAsia="Arial" w:cs="Arial"/>
                          <w:noProof/>
                          <w:color w:val="auto"/>
                        </w:rPr>
                      </w:pPr>
                      <w:bookmarkStart w:id="67" w:name="_Toc57223729"/>
                      <w:r w:rsidRPr="00EE0AF8">
                        <w:rPr>
                          <w:color w:val="auto"/>
                        </w:rPr>
                        <w:t xml:space="preserve">Ilustración </w:t>
                      </w:r>
                      <w:r w:rsidRPr="00EE0AF8">
                        <w:rPr>
                          <w:color w:val="auto"/>
                        </w:rPr>
                        <w:fldChar w:fldCharType="begin"/>
                      </w:r>
                      <w:r w:rsidRPr="00EE0AF8">
                        <w:rPr>
                          <w:color w:val="auto"/>
                        </w:rPr>
                        <w:instrText xml:space="preserve"> SEQ Ilustración \* ARABIC </w:instrText>
                      </w:r>
                      <w:r w:rsidRPr="00EE0AF8">
                        <w:rPr>
                          <w:color w:val="auto"/>
                        </w:rPr>
                        <w:fldChar w:fldCharType="separate"/>
                      </w:r>
                      <w:r>
                        <w:rPr>
                          <w:noProof/>
                          <w:color w:val="auto"/>
                        </w:rPr>
                        <w:t>11</w:t>
                      </w:r>
                      <w:r w:rsidRPr="00EE0AF8">
                        <w:rPr>
                          <w:color w:val="auto"/>
                        </w:rPr>
                        <w:fldChar w:fldCharType="end"/>
                      </w:r>
                      <w:r w:rsidRPr="00EE0AF8">
                        <w:rPr>
                          <w:color w:val="auto"/>
                        </w:rPr>
                        <w:t>.Mapa de distribución espacial de la precipitación en la ciudad de Bogotá RMCAB 2019</w:t>
                      </w:r>
                      <w:bookmarkEnd w:id="67"/>
                    </w:p>
                  </w:txbxContent>
                </v:textbox>
                <w10:wrap type="square"/>
              </v:shape>
            </w:pict>
          </mc:Fallback>
        </mc:AlternateContent>
      </w:r>
    </w:p>
    <w:p w14:paraId="7C7148F4" w14:textId="7C603661" w:rsidR="000735D7" w:rsidRPr="00ED2FD3" w:rsidRDefault="000735D7" w:rsidP="00ED2FD3">
      <w:pPr>
        <w:pBdr>
          <w:top w:val="nil"/>
          <w:left w:val="nil"/>
          <w:bottom w:val="nil"/>
          <w:right w:val="nil"/>
          <w:between w:val="nil"/>
        </w:pBdr>
        <w:spacing w:after="0" w:line="240" w:lineRule="auto"/>
        <w:ind w:left="284"/>
        <w:jc w:val="center"/>
        <w:rPr>
          <w:i/>
          <w:iCs/>
          <w:sz w:val="18"/>
          <w:szCs w:val="18"/>
        </w:rPr>
      </w:pPr>
      <w:r w:rsidRPr="00ED2FD3">
        <w:rPr>
          <w:i/>
          <w:iCs/>
          <w:sz w:val="18"/>
          <w:szCs w:val="18"/>
        </w:rPr>
        <w:t>Fuente: Informe Anual de Calidad del Aire 2018</w:t>
      </w:r>
    </w:p>
    <w:p w14:paraId="704C86D4" w14:textId="2108C429" w:rsidR="00A702A9" w:rsidRPr="00ED2FD3" w:rsidRDefault="00A702A9" w:rsidP="000735D7">
      <w:pPr>
        <w:pBdr>
          <w:top w:val="nil"/>
          <w:left w:val="nil"/>
          <w:bottom w:val="nil"/>
          <w:right w:val="nil"/>
          <w:between w:val="nil"/>
        </w:pBdr>
        <w:spacing w:after="0" w:line="240" w:lineRule="auto"/>
        <w:ind w:left="284"/>
        <w:jc w:val="center"/>
        <w:rPr>
          <w:i/>
          <w:iCs/>
          <w:sz w:val="18"/>
          <w:szCs w:val="18"/>
        </w:rPr>
      </w:pPr>
    </w:p>
    <w:p w14:paraId="746BAAA6" w14:textId="5B396660" w:rsidR="0087017A" w:rsidRDefault="004B2EEA" w:rsidP="004B2EEA">
      <w:pPr>
        <w:pStyle w:val="Ttulo3"/>
        <w:ind w:firstLine="0"/>
      </w:pPr>
      <w:bookmarkStart w:id="62" w:name="_Toc57238628"/>
      <w:r>
        <w:lastRenderedPageBreak/>
        <w:t xml:space="preserve">2.3.3 </w:t>
      </w:r>
      <w:r w:rsidR="006371D8" w:rsidRPr="00921F0C">
        <w:t>Calidad hídrica</w:t>
      </w:r>
      <w:r w:rsidR="00921F0C">
        <w:t>.</w:t>
      </w:r>
      <w:bookmarkEnd w:id="62"/>
    </w:p>
    <w:p w14:paraId="60562D79" w14:textId="3D2F6FB3" w:rsidR="00921F0C" w:rsidRDefault="00D85252" w:rsidP="00D85252">
      <w:pPr>
        <w:pBdr>
          <w:top w:val="nil"/>
          <w:left w:val="nil"/>
          <w:bottom w:val="nil"/>
          <w:right w:val="nil"/>
          <w:between w:val="nil"/>
        </w:pBdr>
        <w:spacing w:after="0"/>
        <w:ind w:left="993" w:firstLine="0"/>
        <w:jc w:val="both"/>
        <w:rPr>
          <w:rFonts w:eastAsia="Arial" w:cs="Arial"/>
          <w:b/>
          <w:bCs/>
          <w:color w:val="000000"/>
        </w:rPr>
      </w:pPr>
      <w:r w:rsidRPr="00D85252">
        <w:rPr>
          <w:rFonts w:eastAsia="Arial" w:cs="Arial"/>
          <w:b/>
          <w:bCs/>
          <w:color w:val="000000"/>
        </w:rPr>
        <w:t>Agua Superficial Indicadores en Corrientes, Rio Fucha</w:t>
      </w:r>
      <w:r>
        <w:rPr>
          <w:rFonts w:eastAsia="Arial" w:cs="Arial"/>
          <w:b/>
          <w:bCs/>
          <w:color w:val="000000"/>
        </w:rPr>
        <w:t>.</w:t>
      </w:r>
    </w:p>
    <w:p w14:paraId="617E9911" w14:textId="71340D65" w:rsidR="0087017A" w:rsidRDefault="00D85252" w:rsidP="00D85252">
      <w:pPr>
        <w:pBdr>
          <w:top w:val="nil"/>
          <w:left w:val="nil"/>
          <w:bottom w:val="nil"/>
          <w:right w:val="nil"/>
          <w:between w:val="nil"/>
        </w:pBdr>
        <w:spacing w:after="0"/>
        <w:ind w:left="993"/>
        <w:jc w:val="both"/>
        <w:rPr>
          <w:rFonts w:eastAsia="Arial" w:cs="Arial"/>
        </w:rPr>
      </w:pPr>
      <w:r w:rsidRPr="00D85252">
        <w:rPr>
          <w:rFonts w:eastAsia="Arial" w:cs="Arial"/>
          <w:noProof/>
        </w:rPr>
        <w:t>Este indicador mide la calidad del agua del Rio Fucha. El periodo de monitoreo esta comprendido de junio a marzo de cada año. Éste índice permite evaluar la calidad del agua por categorías en una escala de 0 a 100, agrupadas así: Entre 95 y 100: Excelente, 80 y 94: Buena, 65 y 79: Aceptable, 45 y 64: Marginal, 0 y 44: Pobre, tal y como se presenta en la siguiente tabla:</w:t>
      </w:r>
    </w:p>
    <w:p w14:paraId="50C30E32" w14:textId="74F2C530" w:rsidR="0087017A" w:rsidRPr="00B740FA" w:rsidRDefault="0087017A" w:rsidP="00C61BA6">
      <w:pPr>
        <w:pBdr>
          <w:top w:val="nil"/>
          <w:left w:val="nil"/>
          <w:bottom w:val="nil"/>
          <w:right w:val="nil"/>
          <w:between w:val="nil"/>
        </w:pBdr>
        <w:spacing w:after="0"/>
        <w:ind w:left="1440"/>
        <w:jc w:val="both"/>
        <w:rPr>
          <w:rFonts w:eastAsia="Arial" w:cs="Arial"/>
        </w:rPr>
      </w:pPr>
    </w:p>
    <w:p w14:paraId="64D64E83" w14:textId="27702A9F" w:rsidR="00B740FA" w:rsidRPr="00B740FA" w:rsidRDefault="00B740FA" w:rsidP="00B740FA">
      <w:pPr>
        <w:pStyle w:val="Descripcin"/>
        <w:keepNext/>
        <w:jc w:val="center"/>
        <w:rPr>
          <w:color w:val="auto"/>
        </w:rPr>
      </w:pPr>
      <w:bookmarkStart w:id="63" w:name="_Toc57227496"/>
      <w:r w:rsidRPr="00B740FA">
        <w:rPr>
          <w:color w:val="auto"/>
        </w:rPr>
        <w:t xml:space="preserve">Tabla </w:t>
      </w:r>
      <w:r w:rsidRPr="00B740FA">
        <w:rPr>
          <w:color w:val="auto"/>
        </w:rPr>
        <w:fldChar w:fldCharType="begin"/>
      </w:r>
      <w:r w:rsidRPr="00B740FA">
        <w:rPr>
          <w:color w:val="auto"/>
        </w:rPr>
        <w:instrText xml:space="preserve"> SEQ Tabla \* ARABIC </w:instrText>
      </w:r>
      <w:r w:rsidRPr="00B740FA">
        <w:rPr>
          <w:color w:val="auto"/>
        </w:rPr>
        <w:fldChar w:fldCharType="separate"/>
      </w:r>
      <w:r w:rsidR="00C37D33">
        <w:rPr>
          <w:noProof/>
          <w:color w:val="auto"/>
        </w:rPr>
        <w:t>11</w:t>
      </w:r>
      <w:r w:rsidRPr="00B740FA">
        <w:rPr>
          <w:color w:val="auto"/>
        </w:rPr>
        <w:fldChar w:fldCharType="end"/>
      </w:r>
      <w:r w:rsidRPr="00B740FA">
        <w:rPr>
          <w:color w:val="auto"/>
        </w:rPr>
        <w:t>.Categorías de evaluación calidad del agua</w:t>
      </w:r>
      <w:bookmarkEnd w:id="63"/>
    </w:p>
    <w:p w14:paraId="66047904" w14:textId="2932923E" w:rsidR="0087017A" w:rsidRDefault="00D85252" w:rsidP="00155940">
      <w:pPr>
        <w:pBdr>
          <w:top w:val="nil"/>
          <w:left w:val="nil"/>
          <w:bottom w:val="nil"/>
          <w:right w:val="nil"/>
          <w:between w:val="nil"/>
        </w:pBdr>
        <w:spacing w:after="0"/>
        <w:ind w:left="567"/>
        <w:jc w:val="center"/>
        <w:rPr>
          <w:rFonts w:eastAsia="Arial" w:cs="Arial"/>
        </w:rPr>
      </w:pPr>
      <w:r>
        <w:rPr>
          <w:rFonts w:eastAsia="Arial" w:cs="Arial"/>
          <w:noProof/>
        </w:rPr>
        <w:drawing>
          <wp:inline distT="0" distB="0" distL="0" distR="0" wp14:anchorId="7D463589" wp14:editId="0980B1D3">
            <wp:extent cx="4744720" cy="2682875"/>
            <wp:effectExtent l="0" t="0" r="0" b="3175"/>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744720" cy="2682875"/>
                    </a:xfrm>
                    <a:prstGeom prst="rect">
                      <a:avLst/>
                    </a:prstGeom>
                    <a:noFill/>
                    <a:ln>
                      <a:noFill/>
                    </a:ln>
                  </pic:spPr>
                </pic:pic>
              </a:graphicData>
            </a:graphic>
          </wp:inline>
        </w:drawing>
      </w:r>
    </w:p>
    <w:p w14:paraId="0C4A0DAA" w14:textId="77777777" w:rsidR="00B7737D" w:rsidRPr="00B740FA" w:rsidRDefault="00B7737D" w:rsidP="00B7737D">
      <w:pPr>
        <w:spacing w:after="0" w:line="240" w:lineRule="auto"/>
        <w:jc w:val="center"/>
        <w:rPr>
          <w:i/>
          <w:iCs/>
          <w:sz w:val="18"/>
          <w:szCs w:val="18"/>
        </w:rPr>
      </w:pPr>
      <w:r w:rsidRPr="00B740FA">
        <w:rPr>
          <w:rFonts w:eastAsia="Arial" w:cs="Arial"/>
          <w:i/>
          <w:iCs/>
          <w:sz w:val="18"/>
          <w:szCs w:val="18"/>
        </w:rPr>
        <w:t>Fuente: Observatorio Ambiental de Bogotá</w:t>
      </w:r>
    </w:p>
    <w:p w14:paraId="14211CE8" w14:textId="393DCC2C" w:rsidR="00D85252" w:rsidRDefault="00D85252" w:rsidP="00C61BA6">
      <w:pPr>
        <w:pBdr>
          <w:top w:val="nil"/>
          <w:left w:val="nil"/>
          <w:bottom w:val="nil"/>
          <w:right w:val="nil"/>
          <w:between w:val="nil"/>
        </w:pBdr>
        <w:spacing w:after="0"/>
        <w:ind w:left="1440"/>
        <w:jc w:val="both"/>
        <w:rPr>
          <w:rFonts w:eastAsia="Arial" w:cs="Arial"/>
        </w:rPr>
      </w:pPr>
    </w:p>
    <w:p w14:paraId="5C0CA635" w14:textId="0B693980" w:rsidR="00D85252" w:rsidRPr="00D85252" w:rsidRDefault="00D85252" w:rsidP="00D85252">
      <w:pPr>
        <w:pBdr>
          <w:top w:val="nil"/>
          <w:left w:val="nil"/>
          <w:bottom w:val="nil"/>
          <w:right w:val="nil"/>
          <w:between w:val="nil"/>
        </w:pBdr>
        <w:tabs>
          <w:tab w:val="left" w:pos="993"/>
        </w:tabs>
        <w:spacing w:after="0"/>
        <w:jc w:val="both"/>
        <w:rPr>
          <w:rFonts w:eastAsia="Arial" w:cs="Arial"/>
          <w:lang w:val="es-419"/>
        </w:rPr>
      </w:pPr>
      <w:r>
        <w:rPr>
          <w:rFonts w:eastAsia="Arial" w:cs="Arial"/>
          <w:lang w:val="es-419"/>
        </w:rPr>
        <w:t xml:space="preserve">           </w:t>
      </w:r>
      <w:r w:rsidRPr="00D85252">
        <w:rPr>
          <w:rFonts w:eastAsia="Arial" w:cs="Arial"/>
          <w:lang w:val="es-419"/>
        </w:rPr>
        <w:t>Las estaciones de muestreo son:</w:t>
      </w:r>
    </w:p>
    <w:p w14:paraId="01A09857" w14:textId="77777777" w:rsidR="00D85252" w:rsidRPr="00D85252" w:rsidRDefault="00D85252" w:rsidP="00D85252">
      <w:pPr>
        <w:pStyle w:val="Prrafodelista"/>
        <w:numPr>
          <w:ilvl w:val="0"/>
          <w:numId w:val="30"/>
        </w:numPr>
        <w:pBdr>
          <w:top w:val="nil"/>
          <w:left w:val="nil"/>
          <w:bottom w:val="nil"/>
          <w:right w:val="nil"/>
          <w:between w:val="nil"/>
        </w:pBdr>
        <w:spacing w:after="0"/>
        <w:ind w:left="1701"/>
        <w:jc w:val="both"/>
        <w:rPr>
          <w:rFonts w:eastAsia="Arial" w:cs="Arial"/>
          <w:lang w:val="es-419"/>
        </w:rPr>
      </w:pPr>
      <w:r w:rsidRPr="00D85252">
        <w:rPr>
          <w:rFonts w:eastAsia="Arial" w:cs="Arial"/>
          <w:lang w:val="es-419"/>
        </w:rPr>
        <w:t>Tramo 1: El Delirio, longitud 1.98 km.</w:t>
      </w:r>
    </w:p>
    <w:p w14:paraId="0900E3B4" w14:textId="77777777" w:rsidR="00D85252" w:rsidRPr="00D85252" w:rsidRDefault="00D85252" w:rsidP="00D85252">
      <w:pPr>
        <w:pStyle w:val="Prrafodelista"/>
        <w:numPr>
          <w:ilvl w:val="0"/>
          <w:numId w:val="30"/>
        </w:numPr>
        <w:pBdr>
          <w:top w:val="nil"/>
          <w:left w:val="nil"/>
          <w:bottom w:val="nil"/>
          <w:right w:val="nil"/>
          <w:between w:val="nil"/>
        </w:pBdr>
        <w:spacing w:after="0"/>
        <w:ind w:left="1701"/>
        <w:jc w:val="both"/>
        <w:rPr>
          <w:rFonts w:eastAsia="Arial" w:cs="Arial"/>
          <w:lang w:val="es-419"/>
        </w:rPr>
      </w:pPr>
      <w:r w:rsidRPr="00D85252">
        <w:rPr>
          <w:rFonts w:eastAsia="Arial" w:cs="Arial"/>
          <w:lang w:val="es-419"/>
        </w:rPr>
        <w:t xml:space="preserve">Tramo 2: Carrera 7 Río </w:t>
      </w:r>
      <w:proofErr w:type="gramStart"/>
      <w:r w:rsidRPr="00D85252">
        <w:rPr>
          <w:rFonts w:eastAsia="Arial" w:cs="Arial"/>
          <w:lang w:val="es-419"/>
        </w:rPr>
        <w:t>Fucha,longitud</w:t>
      </w:r>
      <w:proofErr w:type="gramEnd"/>
      <w:r w:rsidRPr="00D85252">
        <w:rPr>
          <w:rFonts w:eastAsia="Arial" w:cs="Arial"/>
          <w:lang w:val="es-419"/>
        </w:rPr>
        <w:t xml:space="preserve"> 7.56 km.</w:t>
      </w:r>
    </w:p>
    <w:p w14:paraId="022C164F" w14:textId="77777777" w:rsidR="00D85252" w:rsidRPr="00D85252" w:rsidRDefault="00D85252" w:rsidP="00D85252">
      <w:pPr>
        <w:pStyle w:val="Prrafodelista"/>
        <w:numPr>
          <w:ilvl w:val="0"/>
          <w:numId w:val="30"/>
        </w:numPr>
        <w:pBdr>
          <w:top w:val="nil"/>
          <w:left w:val="nil"/>
          <w:bottom w:val="nil"/>
          <w:right w:val="nil"/>
          <w:between w:val="nil"/>
        </w:pBdr>
        <w:spacing w:after="0"/>
        <w:ind w:left="1701"/>
        <w:jc w:val="both"/>
        <w:rPr>
          <w:rFonts w:eastAsia="Arial" w:cs="Arial"/>
          <w:lang w:val="es-419"/>
        </w:rPr>
      </w:pPr>
      <w:r w:rsidRPr="00D85252">
        <w:rPr>
          <w:rFonts w:eastAsia="Arial" w:cs="Arial"/>
          <w:lang w:val="es-419"/>
        </w:rPr>
        <w:t>Tramo 3: Fucha Av de las Americas, longitud 2.74 km.</w:t>
      </w:r>
    </w:p>
    <w:p w14:paraId="7060903A" w14:textId="77777777" w:rsidR="00D85252" w:rsidRPr="00D85252" w:rsidRDefault="00D85252" w:rsidP="00D85252">
      <w:pPr>
        <w:pStyle w:val="Prrafodelista"/>
        <w:numPr>
          <w:ilvl w:val="0"/>
          <w:numId w:val="30"/>
        </w:numPr>
        <w:pBdr>
          <w:top w:val="nil"/>
          <w:left w:val="nil"/>
          <w:bottom w:val="nil"/>
          <w:right w:val="nil"/>
          <w:between w:val="nil"/>
        </w:pBdr>
        <w:spacing w:after="0"/>
        <w:ind w:left="1701"/>
        <w:jc w:val="both"/>
        <w:rPr>
          <w:rFonts w:eastAsia="Arial" w:cs="Arial"/>
          <w:lang w:val="es-419"/>
        </w:rPr>
      </w:pPr>
      <w:r w:rsidRPr="00D85252">
        <w:rPr>
          <w:rFonts w:eastAsia="Arial" w:cs="Arial"/>
          <w:lang w:val="es-419"/>
        </w:rPr>
        <w:t>Tramo 4: Visión Colombia Zona Franca Fucha Alameda, longitud 5.03 km.</w:t>
      </w:r>
    </w:p>
    <w:p w14:paraId="12CE8EA7" w14:textId="39B67C52" w:rsidR="00D85252" w:rsidRDefault="00825257" w:rsidP="00825257">
      <w:pPr>
        <w:pBdr>
          <w:top w:val="nil"/>
          <w:left w:val="nil"/>
          <w:bottom w:val="nil"/>
          <w:right w:val="nil"/>
          <w:between w:val="nil"/>
        </w:pBdr>
        <w:spacing w:after="0"/>
        <w:jc w:val="both"/>
        <w:rPr>
          <w:rFonts w:eastAsia="Arial" w:cs="Arial"/>
          <w:lang w:val="es-419"/>
        </w:rPr>
      </w:pPr>
      <w:r>
        <w:rPr>
          <w:rFonts w:eastAsia="Arial" w:cs="Arial"/>
          <w:lang w:val="es-419"/>
        </w:rPr>
        <w:t xml:space="preserve">           </w:t>
      </w:r>
      <w:r w:rsidR="00D85252" w:rsidRPr="00D85252">
        <w:rPr>
          <w:rFonts w:eastAsia="Arial" w:cs="Arial"/>
          <w:lang w:val="es-419"/>
        </w:rPr>
        <w:t>Cabe aclarar que este índice NO define la calidad del agua para consumo humano.</w:t>
      </w:r>
    </w:p>
    <w:p w14:paraId="031CDBE0" w14:textId="523759FA" w:rsidR="00B740FA" w:rsidRPr="00B740FA" w:rsidRDefault="00B740FA" w:rsidP="00B740FA">
      <w:pPr>
        <w:pStyle w:val="Descripcin"/>
        <w:keepNext/>
        <w:jc w:val="center"/>
        <w:rPr>
          <w:color w:val="auto"/>
        </w:rPr>
      </w:pPr>
      <w:bookmarkStart w:id="64" w:name="_Toc57227497"/>
      <w:r w:rsidRPr="00B740FA">
        <w:rPr>
          <w:color w:val="auto"/>
        </w:rPr>
        <w:lastRenderedPageBreak/>
        <w:t xml:space="preserve">Tabla </w:t>
      </w:r>
      <w:r w:rsidRPr="00B740FA">
        <w:rPr>
          <w:color w:val="auto"/>
        </w:rPr>
        <w:fldChar w:fldCharType="begin"/>
      </w:r>
      <w:r w:rsidRPr="00B740FA">
        <w:rPr>
          <w:color w:val="auto"/>
        </w:rPr>
        <w:instrText xml:space="preserve"> SEQ Tabla \* ARABIC </w:instrText>
      </w:r>
      <w:r w:rsidRPr="00B740FA">
        <w:rPr>
          <w:color w:val="auto"/>
        </w:rPr>
        <w:fldChar w:fldCharType="separate"/>
      </w:r>
      <w:r w:rsidR="00C37D33">
        <w:rPr>
          <w:noProof/>
          <w:color w:val="auto"/>
        </w:rPr>
        <w:t>12</w:t>
      </w:r>
      <w:r w:rsidRPr="00B740FA">
        <w:rPr>
          <w:color w:val="auto"/>
        </w:rPr>
        <w:fldChar w:fldCharType="end"/>
      </w:r>
      <w:r w:rsidRPr="00B740FA">
        <w:rPr>
          <w:color w:val="auto"/>
        </w:rPr>
        <w:t>.  Agua Superficial Indicadores en Corrientes, Rio Fucha</w:t>
      </w:r>
      <w:bookmarkEnd w:id="64"/>
    </w:p>
    <w:p w14:paraId="28CC19E7" w14:textId="67D7BE18" w:rsidR="009B1C10" w:rsidRPr="00D85252" w:rsidRDefault="009B1C10" w:rsidP="009B1C10">
      <w:pPr>
        <w:pBdr>
          <w:top w:val="nil"/>
          <w:left w:val="nil"/>
          <w:bottom w:val="nil"/>
          <w:right w:val="nil"/>
          <w:between w:val="nil"/>
        </w:pBdr>
        <w:spacing w:after="0"/>
        <w:jc w:val="center"/>
        <w:rPr>
          <w:rFonts w:eastAsia="Arial" w:cs="Arial"/>
          <w:lang w:val="es-419"/>
        </w:rPr>
      </w:pPr>
      <w:r>
        <w:rPr>
          <w:rFonts w:eastAsia="Arial" w:cs="Arial"/>
          <w:noProof/>
          <w:lang w:val="es-419"/>
        </w:rPr>
        <w:drawing>
          <wp:inline distT="0" distB="0" distL="0" distR="0" wp14:anchorId="5A7FFA9C" wp14:editId="10D7E6A0">
            <wp:extent cx="4136473" cy="3689132"/>
            <wp:effectExtent l="0" t="0" r="0" b="6985"/>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162167" cy="3712048"/>
                    </a:xfrm>
                    <a:prstGeom prst="rect">
                      <a:avLst/>
                    </a:prstGeom>
                    <a:noFill/>
                    <a:ln>
                      <a:noFill/>
                    </a:ln>
                  </pic:spPr>
                </pic:pic>
              </a:graphicData>
            </a:graphic>
          </wp:inline>
        </w:drawing>
      </w:r>
    </w:p>
    <w:p w14:paraId="22E36432" w14:textId="77777777" w:rsidR="009B1C10" w:rsidRPr="00B740FA" w:rsidRDefault="009B1C10" w:rsidP="009B1C10">
      <w:pPr>
        <w:spacing w:after="0" w:line="240" w:lineRule="auto"/>
        <w:jc w:val="center"/>
        <w:rPr>
          <w:i/>
          <w:iCs/>
          <w:sz w:val="18"/>
          <w:szCs w:val="18"/>
        </w:rPr>
      </w:pPr>
      <w:r w:rsidRPr="00B740FA">
        <w:rPr>
          <w:rFonts w:eastAsia="Arial" w:cs="Arial"/>
          <w:i/>
          <w:iCs/>
          <w:sz w:val="18"/>
          <w:szCs w:val="18"/>
        </w:rPr>
        <w:t>Fuente: Observatorio Ambiental de Bogotá</w:t>
      </w:r>
    </w:p>
    <w:p w14:paraId="088792E8" w14:textId="77777777" w:rsidR="009B1C10" w:rsidRDefault="009B1C10" w:rsidP="009B1C10">
      <w:pPr>
        <w:pBdr>
          <w:top w:val="nil"/>
          <w:left w:val="nil"/>
          <w:bottom w:val="nil"/>
          <w:right w:val="nil"/>
          <w:between w:val="nil"/>
        </w:pBdr>
        <w:spacing w:after="0"/>
        <w:ind w:left="720" w:firstLine="0"/>
        <w:jc w:val="both"/>
        <w:rPr>
          <w:rFonts w:eastAsia="Arial" w:cs="Arial"/>
          <w:color w:val="000000"/>
        </w:rPr>
      </w:pPr>
    </w:p>
    <w:p w14:paraId="1EB37697" w14:textId="01AF28D2" w:rsidR="0087017A" w:rsidRDefault="004B2EEA" w:rsidP="004B2EEA">
      <w:pPr>
        <w:pStyle w:val="Ttulo3"/>
      </w:pPr>
      <w:bookmarkStart w:id="65" w:name="_Toc57238629"/>
      <w:r>
        <w:t xml:space="preserve">2.3.4 </w:t>
      </w:r>
      <w:r w:rsidR="006371D8" w:rsidRPr="00AA01C2">
        <w:t>Contaminación hídrica.</w:t>
      </w:r>
      <w:bookmarkEnd w:id="65"/>
    </w:p>
    <w:p w14:paraId="65D9376D" w14:textId="7F3E3FF2" w:rsidR="0087017A" w:rsidRDefault="006371D8" w:rsidP="007C6093">
      <w:pPr>
        <w:pBdr>
          <w:top w:val="nil"/>
          <w:left w:val="nil"/>
          <w:bottom w:val="nil"/>
          <w:right w:val="nil"/>
          <w:between w:val="nil"/>
        </w:pBdr>
        <w:spacing w:after="0"/>
        <w:ind w:left="993"/>
        <w:jc w:val="both"/>
        <w:rPr>
          <w:rFonts w:eastAsia="Arial" w:cs="Arial"/>
        </w:rPr>
      </w:pPr>
      <w:r>
        <w:rPr>
          <w:rFonts w:eastAsia="Arial" w:cs="Arial"/>
        </w:rPr>
        <w:t>Las principales fuentes de contaminación de</w:t>
      </w:r>
      <w:r w:rsidR="00AA01C2">
        <w:rPr>
          <w:rFonts w:eastAsia="Arial" w:cs="Arial"/>
        </w:rPr>
        <w:t>l río Fucha</w:t>
      </w:r>
      <w:r>
        <w:rPr>
          <w:rFonts w:eastAsia="Arial" w:cs="Arial"/>
        </w:rPr>
        <w:t xml:space="preserve"> son aguas residuales domésticas e industriales descargadas al río por las estructuras del sistema de alcantarillado público que aportan entre otras cargas de materia orgánica, sólidos suspendidos totales (SST), coliformes totales y coliformes fecales. La Red de Calidad Hídrica de Bogotá cuenta con ocho puntos monitoreo de la calidad y cantidad del agua, que </w:t>
      </w:r>
      <w:r w:rsidR="00AA01C2">
        <w:rPr>
          <w:rFonts w:eastAsia="Arial" w:cs="Arial"/>
        </w:rPr>
        <w:t>están</w:t>
      </w:r>
      <w:r>
        <w:rPr>
          <w:rFonts w:eastAsia="Arial" w:cs="Arial"/>
        </w:rPr>
        <w:t xml:space="preserve"> distribuidos en los cuatro tramos que conforman </w:t>
      </w:r>
      <w:r w:rsidR="00AA01C2">
        <w:rPr>
          <w:rFonts w:eastAsia="Arial" w:cs="Arial"/>
        </w:rPr>
        <w:t>lo conforman.</w:t>
      </w:r>
      <w:r>
        <w:rPr>
          <w:rFonts w:eastAsia="Arial" w:cs="Arial"/>
        </w:rPr>
        <w:t xml:space="preserve"> </w:t>
      </w:r>
    </w:p>
    <w:p w14:paraId="59302FC1" w14:textId="77777777" w:rsidR="0087017A" w:rsidRDefault="0087017A" w:rsidP="00C61BA6">
      <w:pPr>
        <w:pBdr>
          <w:top w:val="nil"/>
          <w:left w:val="nil"/>
          <w:bottom w:val="nil"/>
          <w:right w:val="nil"/>
          <w:between w:val="nil"/>
        </w:pBdr>
        <w:spacing w:after="0"/>
        <w:ind w:left="1440"/>
        <w:jc w:val="both"/>
        <w:rPr>
          <w:rFonts w:eastAsia="Arial" w:cs="Arial"/>
        </w:rPr>
      </w:pPr>
    </w:p>
    <w:p w14:paraId="28A4F32E" w14:textId="3CC3D1E7" w:rsidR="0087017A" w:rsidRDefault="0087017A" w:rsidP="00C61BA6">
      <w:pPr>
        <w:pBdr>
          <w:top w:val="nil"/>
          <w:left w:val="nil"/>
          <w:bottom w:val="nil"/>
          <w:right w:val="nil"/>
          <w:between w:val="nil"/>
        </w:pBdr>
        <w:spacing w:after="0"/>
        <w:ind w:left="1440"/>
        <w:jc w:val="both"/>
        <w:rPr>
          <w:rFonts w:eastAsia="Arial" w:cs="Arial"/>
        </w:rPr>
      </w:pPr>
    </w:p>
    <w:p w14:paraId="3F586DE6" w14:textId="3E7CE85F" w:rsidR="00AA01C2" w:rsidRDefault="00AA01C2" w:rsidP="00C61BA6">
      <w:pPr>
        <w:pBdr>
          <w:top w:val="nil"/>
          <w:left w:val="nil"/>
          <w:bottom w:val="nil"/>
          <w:right w:val="nil"/>
          <w:between w:val="nil"/>
        </w:pBdr>
        <w:spacing w:after="0"/>
        <w:ind w:left="1440"/>
        <w:jc w:val="both"/>
        <w:rPr>
          <w:rFonts w:eastAsia="Arial" w:cs="Arial"/>
        </w:rPr>
      </w:pPr>
    </w:p>
    <w:p w14:paraId="58EB59DB" w14:textId="57E2FC20" w:rsidR="00AA01C2" w:rsidRDefault="00AA01C2" w:rsidP="00C61BA6">
      <w:pPr>
        <w:pBdr>
          <w:top w:val="nil"/>
          <w:left w:val="nil"/>
          <w:bottom w:val="nil"/>
          <w:right w:val="nil"/>
          <w:between w:val="nil"/>
        </w:pBdr>
        <w:spacing w:after="0"/>
        <w:ind w:left="1440"/>
        <w:jc w:val="both"/>
        <w:rPr>
          <w:rFonts w:eastAsia="Arial" w:cs="Arial"/>
        </w:rPr>
      </w:pPr>
    </w:p>
    <w:p w14:paraId="39EF4219" w14:textId="2AC79732" w:rsidR="00AA01C2" w:rsidRDefault="00AA01C2" w:rsidP="00C61BA6">
      <w:pPr>
        <w:pBdr>
          <w:top w:val="nil"/>
          <w:left w:val="nil"/>
          <w:bottom w:val="nil"/>
          <w:right w:val="nil"/>
          <w:between w:val="nil"/>
        </w:pBdr>
        <w:spacing w:after="0"/>
        <w:ind w:left="1440"/>
        <w:jc w:val="both"/>
        <w:rPr>
          <w:rFonts w:eastAsia="Arial" w:cs="Arial"/>
        </w:rPr>
      </w:pPr>
    </w:p>
    <w:p w14:paraId="46001209" w14:textId="0BC0B7F1" w:rsidR="00AA01C2" w:rsidRDefault="00AA01C2" w:rsidP="00C61BA6">
      <w:pPr>
        <w:pBdr>
          <w:top w:val="nil"/>
          <w:left w:val="nil"/>
          <w:bottom w:val="nil"/>
          <w:right w:val="nil"/>
          <w:between w:val="nil"/>
        </w:pBdr>
        <w:spacing w:after="0"/>
        <w:ind w:left="1440"/>
        <w:jc w:val="both"/>
        <w:rPr>
          <w:rFonts w:eastAsia="Arial" w:cs="Arial"/>
        </w:rPr>
      </w:pPr>
    </w:p>
    <w:p w14:paraId="7B5D55C4" w14:textId="4EAE9B9C" w:rsidR="00AA01C2" w:rsidRDefault="00AA01C2" w:rsidP="00C61BA6">
      <w:pPr>
        <w:pBdr>
          <w:top w:val="nil"/>
          <w:left w:val="nil"/>
          <w:bottom w:val="nil"/>
          <w:right w:val="nil"/>
          <w:between w:val="nil"/>
        </w:pBdr>
        <w:spacing w:after="0"/>
        <w:ind w:left="1440"/>
        <w:jc w:val="both"/>
        <w:rPr>
          <w:rFonts w:eastAsia="Arial" w:cs="Arial"/>
        </w:rPr>
      </w:pPr>
    </w:p>
    <w:p w14:paraId="1B94998C" w14:textId="77777777" w:rsidR="004C6179" w:rsidRDefault="004C6179" w:rsidP="00C61BA6">
      <w:pPr>
        <w:pBdr>
          <w:top w:val="nil"/>
          <w:left w:val="nil"/>
          <w:bottom w:val="nil"/>
          <w:right w:val="nil"/>
          <w:between w:val="nil"/>
        </w:pBdr>
        <w:spacing w:after="0"/>
        <w:ind w:left="1440"/>
        <w:jc w:val="both"/>
        <w:rPr>
          <w:rFonts w:eastAsia="Arial" w:cs="Arial"/>
        </w:rPr>
      </w:pPr>
    </w:p>
    <w:p w14:paraId="6618321F" w14:textId="77777777" w:rsidR="004B2EEA" w:rsidRDefault="004B2EEA" w:rsidP="00A41E4C">
      <w:pPr>
        <w:pStyle w:val="Ttulo2"/>
        <w:spacing w:line="240" w:lineRule="auto"/>
        <w:ind w:firstLine="0"/>
      </w:pPr>
      <w:bookmarkStart w:id="66" w:name="_Toc57238630"/>
      <w:r>
        <w:lastRenderedPageBreak/>
        <w:t xml:space="preserve">2.4 </w:t>
      </w:r>
      <w:r w:rsidR="006371D8" w:rsidRPr="004C6179">
        <w:t>Biodiversidad.</w:t>
      </w:r>
      <w:bookmarkEnd w:id="66"/>
    </w:p>
    <w:p w14:paraId="59BFCE2F" w14:textId="527ED0AC" w:rsidR="0087017A" w:rsidRPr="004B2EEA" w:rsidRDefault="004B2EEA" w:rsidP="00A41E4C">
      <w:pPr>
        <w:pStyle w:val="Ttulo3"/>
        <w:spacing w:line="240" w:lineRule="auto"/>
        <w:ind w:firstLine="0"/>
        <w:rPr>
          <w:bCs/>
        </w:rPr>
      </w:pPr>
      <w:bookmarkStart w:id="67" w:name="_Toc57238631"/>
      <w:r>
        <w:t xml:space="preserve">2.4.1 </w:t>
      </w:r>
      <w:r w:rsidR="006371D8" w:rsidRPr="00DF1064">
        <w:t>Estructura ecológica principal</w:t>
      </w:r>
      <w:bookmarkEnd w:id="67"/>
    </w:p>
    <w:p w14:paraId="2E55BF56" w14:textId="371810DE" w:rsidR="0087017A" w:rsidRDefault="00BD34E2" w:rsidP="007C6093">
      <w:pPr>
        <w:spacing w:after="0"/>
        <w:ind w:left="709"/>
        <w:jc w:val="both"/>
      </w:pPr>
      <w:r>
        <w:t>La base de la Estructura Ecológica Principal (EEP) es la estructura ecológica, geomorfológica y biológica original y existente en el territorio. En Bogotá, “Los cerros, el valle aluvial del río Bogotá y la planicie son parte de esta estructura basal.” La EEP se establece en razón de uno de los principios básicos de la estrategia de ordenamiento territorial de Bogotá: “la protección y tutela del ambiente y los recursos naturales y su valoración como sustrato básico</w:t>
      </w:r>
      <w:proofErr w:type="gramStart"/>
      <w:r>
        <w:t>” .</w:t>
      </w:r>
      <w:proofErr w:type="gramEnd"/>
      <w:r>
        <w:t xml:space="preserve"> Por ello, y para su realización, es esencial la restauración ecológica del conjunto de reservas, parques y restos de la vegetación natural de quebradas y ríos acotados como parte de ella. Los componentes de esta red de corredores ambientales que tiene la función de “sostener y conducir la biodiversidad y los procesos ecológicos esenciales a través del territorio del Distrito Capital, en sus diferentes formas e intensidades de ocupación, y dotar al mismo de bienes y servicios ambientales para el desarrollo sostenible.”  son los siguientes:</w:t>
      </w:r>
    </w:p>
    <w:p w14:paraId="7C143F88" w14:textId="261E4117" w:rsidR="00BD34E2" w:rsidRDefault="00BD34E2" w:rsidP="00BD34E2">
      <w:pPr>
        <w:spacing w:after="0"/>
        <w:jc w:val="both"/>
        <w:rPr>
          <w:rFonts w:eastAsia="Arial" w:cs="Arial"/>
        </w:rPr>
      </w:pPr>
    </w:p>
    <w:p w14:paraId="71B3C992" w14:textId="4A753E25" w:rsidR="00BD34E2" w:rsidRDefault="00BD34E2" w:rsidP="00BD34E2">
      <w:pPr>
        <w:spacing w:after="0"/>
        <w:jc w:val="both"/>
        <w:rPr>
          <w:rFonts w:eastAsia="Arial" w:cs="Arial"/>
        </w:rPr>
      </w:pPr>
      <w:r>
        <w:rPr>
          <w:rFonts w:eastAsia="Arial" w:cs="Arial"/>
          <w:noProof/>
        </w:rPr>
        <w:drawing>
          <wp:inline distT="0" distB="0" distL="0" distR="0" wp14:anchorId="548DDF13" wp14:editId="49C4A0F4">
            <wp:extent cx="5969000" cy="2682875"/>
            <wp:effectExtent l="0" t="0" r="0" b="3175"/>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69000" cy="2682875"/>
                    </a:xfrm>
                    <a:prstGeom prst="rect">
                      <a:avLst/>
                    </a:prstGeom>
                    <a:noFill/>
                    <a:ln>
                      <a:noFill/>
                    </a:ln>
                  </pic:spPr>
                </pic:pic>
              </a:graphicData>
            </a:graphic>
          </wp:inline>
        </w:drawing>
      </w:r>
    </w:p>
    <w:p w14:paraId="3870EABA" w14:textId="1380BDCD" w:rsidR="00BD34E2" w:rsidRPr="00707269" w:rsidRDefault="007C6093" w:rsidP="007C6093">
      <w:pPr>
        <w:spacing w:after="0"/>
        <w:jc w:val="center"/>
        <w:rPr>
          <w:rFonts w:eastAsia="Arial" w:cs="Arial"/>
          <w:i/>
          <w:iCs/>
          <w:sz w:val="18"/>
          <w:szCs w:val="18"/>
        </w:rPr>
      </w:pPr>
      <w:r w:rsidRPr="00707269">
        <w:rPr>
          <w:rFonts w:eastAsia="Arial" w:cs="Arial"/>
          <w:i/>
          <w:iCs/>
          <w:sz w:val="18"/>
          <w:szCs w:val="18"/>
        </w:rPr>
        <w:t>Fuente: Monografía de localidades -No 14. Los Mártires</w:t>
      </w:r>
    </w:p>
    <w:p w14:paraId="4CFE3012" w14:textId="4E871122" w:rsidR="007C6093" w:rsidRDefault="007C6093" w:rsidP="007C6093">
      <w:pPr>
        <w:spacing w:after="0"/>
        <w:jc w:val="center"/>
        <w:rPr>
          <w:rFonts w:eastAsia="Arial" w:cs="Arial"/>
          <w:sz w:val="18"/>
          <w:szCs w:val="18"/>
        </w:rPr>
      </w:pPr>
    </w:p>
    <w:p w14:paraId="2EA92317" w14:textId="29B3E5C0" w:rsidR="007C6093" w:rsidRDefault="007C6093" w:rsidP="007C6093">
      <w:pPr>
        <w:spacing w:after="0"/>
        <w:jc w:val="center"/>
        <w:rPr>
          <w:rFonts w:eastAsia="Arial" w:cs="Arial"/>
          <w:sz w:val="18"/>
          <w:szCs w:val="18"/>
        </w:rPr>
      </w:pPr>
    </w:p>
    <w:p w14:paraId="7581B9A8" w14:textId="5FED6CC4" w:rsidR="007C6093" w:rsidRDefault="007C6093" w:rsidP="0063562D">
      <w:pPr>
        <w:spacing w:after="0"/>
        <w:ind w:left="709"/>
        <w:rPr>
          <w:rFonts w:eastAsia="Arial" w:cs="Arial"/>
        </w:rPr>
      </w:pPr>
      <w:r>
        <w:rPr>
          <w:rFonts w:eastAsia="Arial" w:cs="Arial"/>
        </w:rPr>
        <w:t xml:space="preserve">La participación porcentual de la EPP de la localidad en el área del distrito es </w:t>
      </w:r>
      <w:proofErr w:type="gramStart"/>
      <w:r>
        <w:rPr>
          <w:rFonts w:eastAsia="Arial" w:cs="Arial"/>
        </w:rPr>
        <w:t>de  1</w:t>
      </w:r>
      <w:proofErr w:type="gramEnd"/>
      <w:r>
        <w:rPr>
          <w:rFonts w:eastAsia="Arial" w:cs="Arial"/>
        </w:rPr>
        <w:t>,2 % con un área de 8,1 ha</w:t>
      </w:r>
      <w:r w:rsidR="0063562D">
        <w:rPr>
          <w:rFonts w:eastAsia="Arial" w:cs="Arial"/>
        </w:rPr>
        <w:t xml:space="preserve">, </w:t>
      </w:r>
      <w:r w:rsidR="0063562D">
        <w:t>tiene la participación más pequeña de todas las localidades en esta estructura.</w:t>
      </w:r>
    </w:p>
    <w:p w14:paraId="309DDCF0" w14:textId="3331AD4B" w:rsidR="007C6093" w:rsidRDefault="007C6093" w:rsidP="007C6093">
      <w:pPr>
        <w:spacing w:after="0"/>
        <w:rPr>
          <w:rFonts w:eastAsia="Arial" w:cs="Arial"/>
        </w:rPr>
      </w:pPr>
    </w:p>
    <w:p w14:paraId="5C896F73" w14:textId="77777777" w:rsidR="00DF1064" w:rsidRDefault="00DF1064" w:rsidP="00B7737D">
      <w:pPr>
        <w:spacing w:after="0"/>
        <w:ind w:firstLine="0"/>
        <w:rPr>
          <w:rFonts w:eastAsia="Arial" w:cs="Arial"/>
          <w:sz w:val="18"/>
          <w:szCs w:val="18"/>
        </w:rPr>
        <w:sectPr w:rsidR="00DF1064" w:rsidSect="00363BC5">
          <w:pgSz w:w="12240" w:h="15840"/>
          <w:pgMar w:top="1418" w:right="1418" w:bottom="1418" w:left="1418" w:header="709" w:footer="709" w:gutter="0"/>
          <w:cols w:space="720"/>
        </w:sectPr>
      </w:pPr>
    </w:p>
    <w:p w14:paraId="5FAE9D2B" w14:textId="7733D503" w:rsidR="00DF1064" w:rsidRPr="00EB3093" w:rsidRDefault="00EE0AF8" w:rsidP="00EB3093">
      <w:pPr>
        <w:spacing w:after="0" w:line="240" w:lineRule="auto"/>
        <w:ind w:firstLine="0"/>
        <w:jc w:val="center"/>
        <w:rPr>
          <w:rFonts w:eastAsia="Arial" w:cs="Arial"/>
          <w:i/>
          <w:iCs/>
          <w:noProof/>
          <w:sz w:val="18"/>
          <w:szCs w:val="18"/>
        </w:rPr>
        <w:sectPr w:rsidR="00DF1064" w:rsidRPr="00EB3093" w:rsidSect="00363BC5">
          <w:pgSz w:w="15840" w:h="12240" w:orient="landscape"/>
          <w:pgMar w:top="1418" w:right="1418" w:bottom="1418" w:left="1418" w:header="709" w:footer="709" w:gutter="0"/>
          <w:cols w:space="720"/>
        </w:sectPr>
      </w:pPr>
      <w:r>
        <w:rPr>
          <w:noProof/>
        </w:rPr>
        <w:lastRenderedPageBreak/>
        <mc:AlternateContent>
          <mc:Choice Requires="wps">
            <w:drawing>
              <wp:anchor distT="0" distB="0" distL="114300" distR="114300" simplePos="0" relativeHeight="251700224" behindDoc="0" locked="0" layoutInCell="1" allowOverlap="1" wp14:anchorId="05D3B318" wp14:editId="4C34DEAC">
                <wp:simplePos x="0" y="0"/>
                <wp:positionH relativeFrom="column">
                  <wp:posOffset>518160</wp:posOffset>
                </wp:positionH>
                <wp:positionV relativeFrom="paragraph">
                  <wp:posOffset>5697220</wp:posOffset>
                </wp:positionV>
                <wp:extent cx="7440930" cy="635"/>
                <wp:effectExtent l="0" t="0" r="0" b="0"/>
                <wp:wrapTopAndBottom/>
                <wp:docPr id="21" name="Cuadro de texto 21"/>
                <wp:cNvGraphicFramePr/>
                <a:graphic xmlns:a="http://schemas.openxmlformats.org/drawingml/2006/main">
                  <a:graphicData uri="http://schemas.microsoft.com/office/word/2010/wordprocessingShape">
                    <wps:wsp>
                      <wps:cNvSpPr txBox="1"/>
                      <wps:spPr>
                        <a:xfrm>
                          <a:off x="0" y="0"/>
                          <a:ext cx="7440930" cy="635"/>
                        </a:xfrm>
                        <a:prstGeom prst="rect">
                          <a:avLst/>
                        </a:prstGeom>
                        <a:solidFill>
                          <a:prstClr val="white"/>
                        </a:solidFill>
                        <a:ln>
                          <a:noFill/>
                        </a:ln>
                      </wps:spPr>
                      <wps:txbx>
                        <w:txbxContent>
                          <w:p w14:paraId="374C1D83" w14:textId="44FB8C26" w:rsidR="00ED57B1" w:rsidRPr="004D481B" w:rsidRDefault="00ED57B1" w:rsidP="00EE0AF8">
                            <w:pPr>
                              <w:pStyle w:val="Descripcin"/>
                              <w:spacing w:after="0"/>
                              <w:jc w:val="center"/>
                              <w:rPr>
                                <w:rFonts w:eastAsia="Arial" w:cs="Arial"/>
                                <w:noProof/>
                                <w:color w:val="auto"/>
                              </w:rPr>
                            </w:pPr>
                            <w:bookmarkStart w:id="68" w:name="_Toc57223730"/>
                            <w:r w:rsidRPr="004D481B">
                              <w:rPr>
                                <w:color w:val="auto"/>
                              </w:rPr>
                              <w:t xml:space="preserve">Ilustración </w:t>
                            </w:r>
                            <w:r w:rsidRPr="004D481B">
                              <w:rPr>
                                <w:color w:val="auto"/>
                              </w:rPr>
                              <w:fldChar w:fldCharType="begin"/>
                            </w:r>
                            <w:r w:rsidRPr="004D481B">
                              <w:rPr>
                                <w:color w:val="auto"/>
                              </w:rPr>
                              <w:instrText xml:space="preserve"> SEQ Ilustración \* ARABIC </w:instrText>
                            </w:r>
                            <w:r w:rsidRPr="004D481B">
                              <w:rPr>
                                <w:color w:val="auto"/>
                              </w:rPr>
                              <w:fldChar w:fldCharType="separate"/>
                            </w:r>
                            <w:r>
                              <w:rPr>
                                <w:noProof/>
                                <w:color w:val="auto"/>
                              </w:rPr>
                              <w:t>12</w:t>
                            </w:r>
                            <w:r w:rsidRPr="004D481B">
                              <w:rPr>
                                <w:color w:val="auto"/>
                              </w:rPr>
                              <w:fldChar w:fldCharType="end"/>
                            </w:r>
                            <w:r w:rsidRPr="004D481B">
                              <w:rPr>
                                <w:color w:val="auto"/>
                              </w:rPr>
                              <w:t>. Mapa Localidad de los Mártires. Estructura ecológica principal.</w:t>
                            </w:r>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5D3B318" id="Cuadro de texto 21" o:spid="_x0000_s1040" type="#_x0000_t202" style="position:absolute;left:0;text-align:left;margin-left:40.8pt;margin-top:448.6pt;width:585.9pt;height:.0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" stroked="f">
                <v:textbox style="mso-fit-shape-to-text:t" inset="0,0,0,0">
                  <w:txbxContent>
                    <w:p w14:paraId="374C1D83" w14:textId="44FB8C26" w:rsidR="00ED57B1" w:rsidRPr="004D481B" w:rsidRDefault="00ED57B1" w:rsidP="00EE0AF8">
                      <w:pPr>
                        <w:pStyle w:val="Descripcin"/>
                        <w:spacing w:after="0"/>
                        <w:jc w:val="center"/>
                        <w:rPr>
                          <w:rFonts w:eastAsia="Arial" w:cs="Arial"/>
                          <w:noProof/>
                          <w:color w:val="auto"/>
                        </w:rPr>
                      </w:pPr>
                      <w:bookmarkStart w:id="75" w:name="_Toc57223730"/>
                      <w:r w:rsidRPr="004D481B">
                        <w:rPr>
                          <w:color w:val="auto"/>
                        </w:rPr>
                        <w:t xml:space="preserve">Ilustración </w:t>
                      </w:r>
                      <w:r w:rsidRPr="004D481B">
                        <w:rPr>
                          <w:color w:val="auto"/>
                        </w:rPr>
                        <w:fldChar w:fldCharType="begin"/>
                      </w:r>
                      <w:r w:rsidRPr="004D481B">
                        <w:rPr>
                          <w:color w:val="auto"/>
                        </w:rPr>
                        <w:instrText xml:space="preserve"> SEQ Ilustración \* ARABIC </w:instrText>
                      </w:r>
                      <w:r w:rsidRPr="004D481B">
                        <w:rPr>
                          <w:color w:val="auto"/>
                        </w:rPr>
                        <w:fldChar w:fldCharType="separate"/>
                      </w:r>
                      <w:r>
                        <w:rPr>
                          <w:noProof/>
                          <w:color w:val="auto"/>
                        </w:rPr>
                        <w:t>12</w:t>
                      </w:r>
                      <w:r w:rsidRPr="004D481B">
                        <w:rPr>
                          <w:color w:val="auto"/>
                        </w:rPr>
                        <w:fldChar w:fldCharType="end"/>
                      </w:r>
                      <w:r w:rsidRPr="004D481B">
                        <w:rPr>
                          <w:color w:val="auto"/>
                        </w:rPr>
                        <w:t>. Mapa Localidad de los Mártires. Estructura ecológica principal.</w:t>
                      </w:r>
                      <w:bookmarkEnd w:id="75"/>
                    </w:p>
                  </w:txbxContent>
                </v:textbox>
                <w10:wrap type="topAndBottom"/>
              </v:shape>
            </w:pict>
          </mc:Fallback>
        </mc:AlternateContent>
      </w:r>
      <w:r w:rsidR="00DF1064" w:rsidRPr="00EB3093">
        <w:rPr>
          <w:rFonts w:eastAsia="Arial" w:cs="Arial"/>
          <w:i/>
          <w:iCs/>
          <w:noProof/>
          <w:sz w:val="18"/>
          <w:szCs w:val="18"/>
        </w:rPr>
        <w:drawing>
          <wp:anchor distT="0" distB="0" distL="114300" distR="114300" simplePos="0" relativeHeight="251675648" behindDoc="0" locked="0" layoutInCell="1" allowOverlap="1" wp14:anchorId="2E60F127" wp14:editId="585D198B">
            <wp:simplePos x="0" y="0"/>
            <wp:positionH relativeFrom="column">
              <wp:posOffset>518160</wp:posOffset>
            </wp:positionH>
            <wp:positionV relativeFrom="paragraph">
              <wp:posOffset>0</wp:posOffset>
            </wp:positionV>
            <wp:extent cx="7440930" cy="5640070"/>
            <wp:effectExtent l="0" t="0" r="7620" b="0"/>
            <wp:wrapTopAndBottom/>
            <wp:docPr id="89"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440930" cy="5640070"/>
                    </a:xfrm>
                    <a:prstGeom prst="rect">
                      <a:avLst/>
                    </a:prstGeom>
                    <a:noFill/>
                    <a:ln>
                      <a:noFill/>
                    </a:ln>
                  </pic:spPr>
                </pic:pic>
              </a:graphicData>
            </a:graphic>
            <wp14:sizeRelH relativeFrom="page">
              <wp14:pctWidth>0</wp14:pctWidth>
            </wp14:sizeRelH>
            <wp14:sizeRelV relativeFrom="page">
              <wp14:pctHeight>0</wp14:pctHeight>
            </wp14:sizeRelV>
          </wp:anchor>
        </w:drawing>
      </w:r>
      <w:r w:rsidR="00DF1064" w:rsidRPr="00EB3093">
        <w:rPr>
          <w:rFonts w:eastAsia="Arial" w:cs="Arial"/>
          <w:i/>
          <w:iCs/>
          <w:noProof/>
          <w:sz w:val="18"/>
          <w:szCs w:val="18"/>
        </w:rPr>
        <w:t>. Fuente: Secretaría Distrital de Aambient</w:t>
      </w:r>
    </w:p>
    <w:p w14:paraId="2A9A0D0D" w14:textId="3DA918C5" w:rsidR="0087017A" w:rsidRPr="00B13762" w:rsidRDefault="00A41E4C" w:rsidP="00A41E4C">
      <w:pPr>
        <w:pStyle w:val="Ttulo3"/>
        <w:ind w:firstLine="0"/>
      </w:pPr>
      <w:bookmarkStart w:id="69" w:name="_Toc57238632"/>
      <w:r>
        <w:lastRenderedPageBreak/>
        <w:t xml:space="preserve">2.4.2 </w:t>
      </w:r>
      <w:r w:rsidR="006371D8" w:rsidRPr="00B13762">
        <w:t>Fauna y flora</w:t>
      </w:r>
      <w:r w:rsidR="00B13762" w:rsidRPr="00B13762">
        <w:t>.</w:t>
      </w:r>
      <w:bookmarkEnd w:id="69"/>
    </w:p>
    <w:p w14:paraId="5439C88F" w14:textId="4163336D" w:rsidR="00461837" w:rsidRDefault="000B72E2" w:rsidP="000B72E2">
      <w:pPr>
        <w:pBdr>
          <w:top w:val="nil"/>
          <w:left w:val="nil"/>
          <w:bottom w:val="nil"/>
          <w:right w:val="nil"/>
          <w:between w:val="nil"/>
        </w:pBdr>
        <w:tabs>
          <w:tab w:val="left" w:pos="851"/>
        </w:tabs>
        <w:spacing w:after="0"/>
        <w:jc w:val="both"/>
        <w:rPr>
          <w:rFonts w:eastAsia="Arial" w:cs="Arial"/>
        </w:rPr>
      </w:pPr>
      <w:r>
        <w:rPr>
          <w:rFonts w:eastAsia="Arial" w:cs="Arial"/>
        </w:rPr>
        <w:t xml:space="preserve">   </w:t>
      </w:r>
      <w:r w:rsidR="00461837">
        <w:rPr>
          <w:rFonts w:eastAsia="Arial" w:cs="Arial"/>
        </w:rPr>
        <w:t xml:space="preserve">La fauna del Distrito Capital, fauna en la matriz urbana: </w:t>
      </w:r>
    </w:p>
    <w:p w14:paraId="3BD7B095" w14:textId="6B8A727B" w:rsidR="0087017A" w:rsidRDefault="006371D8" w:rsidP="000B72E2">
      <w:pPr>
        <w:pBdr>
          <w:top w:val="nil"/>
          <w:left w:val="nil"/>
          <w:bottom w:val="nil"/>
          <w:right w:val="nil"/>
          <w:between w:val="nil"/>
        </w:pBdr>
        <w:spacing w:after="0"/>
        <w:ind w:left="426"/>
        <w:jc w:val="both"/>
        <w:rPr>
          <w:rFonts w:eastAsia="Arial" w:cs="Arial"/>
        </w:rPr>
      </w:pPr>
      <w:r>
        <w:rPr>
          <w:rFonts w:eastAsia="Arial" w:cs="Arial"/>
        </w:rPr>
        <w:t xml:space="preserve">Se reporta la presencia de 4 anfibios, 4 reptiles, 153 aves, 12-18 mamíferos, 5 peces y más de 81 familias de invertebrados. Sin embargo, es evidente </w:t>
      </w:r>
      <w:proofErr w:type="gramStart"/>
      <w:r>
        <w:rPr>
          <w:rFonts w:eastAsia="Arial" w:cs="Arial"/>
        </w:rPr>
        <w:t>que</w:t>
      </w:r>
      <w:proofErr w:type="gramEnd"/>
      <w:r>
        <w:rPr>
          <w:rFonts w:eastAsia="Arial" w:cs="Arial"/>
        </w:rPr>
        <w:t xml:space="preserve"> debido a la pérdida de hábitats, a la fragmentación y a la degradación de los ecosistemas, se ha presentado un empobrecimiento de la fauna en la ciudad. En la actualidad la fauna en las áreas urbanas del Distrito </w:t>
      </w:r>
      <w:proofErr w:type="gramStart"/>
      <w:r>
        <w:rPr>
          <w:rFonts w:eastAsia="Arial" w:cs="Arial"/>
        </w:rPr>
        <w:t>Capital,</w:t>
      </w:r>
      <w:proofErr w:type="gramEnd"/>
      <w:r>
        <w:rPr>
          <w:rFonts w:eastAsia="Arial" w:cs="Arial"/>
        </w:rPr>
        <w:t xml:space="preserve"> se encuentra dominada por especies generalistas tolerantes al disturbio, así como especies invasoras y domésticas</w:t>
      </w:r>
      <w:r w:rsidR="000B72E2">
        <w:rPr>
          <w:rFonts w:eastAsia="Arial" w:cs="Arial"/>
        </w:rPr>
        <w:t xml:space="preserve"> (</w:t>
      </w:r>
      <w:r w:rsidR="00741D73">
        <w:rPr>
          <w:rFonts w:eastAsia="Arial" w:cs="Arial"/>
          <w:highlight w:val="white"/>
        </w:rPr>
        <w:t>s</w:t>
      </w:r>
      <w:r w:rsidR="000B72E2">
        <w:rPr>
          <w:rFonts w:eastAsia="Arial" w:cs="Arial"/>
          <w:highlight w:val="white"/>
        </w:rPr>
        <w:t xml:space="preserve">e denomina fauna doméstica la especie en cuyo proceso evolutivo ha influido el ser humano para satisfacer sus necesidades. Además, son especies que han tenido modificaciones genéticas para la tenencia del hombre (Ley 165 de 1994: Convenio de las Naciones Unidas sobre Diversidad </w:t>
      </w:r>
      <w:proofErr w:type="gramStart"/>
      <w:r w:rsidR="000B72E2">
        <w:rPr>
          <w:rFonts w:eastAsia="Arial" w:cs="Arial"/>
          <w:highlight w:val="white"/>
        </w:rPr>
        <w:t>Biológica</w:t>
      </w:r>
      <w:r w:rsidR="000B72E2">
        <w:rPr>
          <w:rFonts w:eastAsia="Arial" w:cs="Arial"/>
        </w:rPr>
        <w:t xml:space="preserve">) </w:t>
      </w:r>
      <w:r>
        <w:rPr>
          <w:rFonts w:eastAsia="Arial" w:cs="Arial"/>
        </w:rPr>
        <w:t xml:space="preserve"> tales</w:t>
      </w:r>
      <w:proofErr w:type="gramEnd"/>
      <w:r>
        <w:rPr>
          <w:rFonts w:eastAsia="Arial" w:cs="Arial"/>
        </w:rPr>
        <w:t xml:space="preserve"> como palomas, perros, roedores y gatos, por citar algunos ejemplos.</w:t>
      </w:r>
    </w:p>
    <w:p w14:paraId="5C9E22FD" w14:textId="77777777" w:rsidR="0087017A" w:rsidRDefault="0087017A" w:rsidP="00C61BA6">
      <w:pPr>
        <w:pBdr>
          <w:top w:val="nil"/>
          <w:left w:val="nil"/>
          <w:bottom w:val="nil"/>
          <w:right w:val="nil"/>
          <w:between w:val="nil"/>
        </w:pBdr>
        <w:spacing w:after="0"/>
        <w:ind w:left="1440"/>
        <w:jc w:val="both"/>
        <w:rPr>
          <w:rFonts w:eastAsia="Arial" w:cs="Arial"/>
        </w:rPr>
      </w:pPr>
    </w:p>
    <w:p w14:paraId="4523D84D" w14:textId="4122EB2A" w:rsidR="0087017A" w:rsidRDefault="00461837" w:rsidP="00741D73">
      <w:pPr>
        <w:pBdr>
          <w:top w:val="nil"/>
          <w:left w:val="nil"/>
          <w:bottom w:val="nil"/>
          <w:right w:val="nil"/>
          <w:between w:val="nil"/>
        </w:pBdr>
        <w:spacing w:after="0"/>
        <w:ind w:left="142"/>
        <w:jc w:val="both"/>
        <w:rPr>
          <w:rFonts w:eastAsia="Arial" w:cs="Arial"/>
        </w:rPr>
      </w:pPr>
      <w:r>
        <w:rPr>
          <w:rFonts w:eastAsia="Arial" w:cs="Arial"/>
        </w:rPr>
        <w:t xml:space="preserve">El arbolado urbano del Distrito Capital: </w:t>
      </w:r>
    </w:p>
    <w:p w14:paraId="0B2DDAEB" w14:textId="77777777" w:rsidR="0087017A" w:rsidRDefault="006371D8" w:rsidP="00741D73">
      <w:pPr>
        <w:pBdr>
          <w:top w:val="nil"/>
          <w:left w:val="nil"/>
          <w:bottom w:val="nil"/>
          <w:right w:val="nil"/>
          <w:between w:val="nil"/>
        </w:pBdr>
        <w:spacing w:after="0"/>
        <w:ind w:left="426"/>
        <w:jc w:val="both"/>
        <w:rPr>
          <w:rFonts w:eastAsia="Arial" w:cs="Arial"/>
        </w:rPr>
      </w:pPr>
      <w:r>
        <w:rPr>
          <w:rFonts w:eastAsia="Arial" w:cs="Arial"/>
        </w:rPr>
        <w:t xml:space="preserve">El arbolado urbano está representado por 286 especies, 730.601 individuos son foráneos (67%) y 369.561 individuos (33%) son nativos. El 40% del total de la población arbórea de la ciudad está conformada por diez (10) especies, donde la más abundante es el sauco (Sambucus nigra) con 86.000 individuos, superando aproximadamente en 30.000 individuos a la acacia negra (Acacia decurrens) y al jazmín del cabo (Pittosporum undulatum), especies en segundo y tercer puesto de abundancia respectivamente. </w:t>
      </w:r>
    </w:p>
    <w:p w14:paraId="79340DC8" w14:textId="77777777" w:rsidR="0087017A" w:rsidRDefault="0087017A" w:rsidP="00C61BA6">
      <w:pPr>
        <w:pBdr>
          <w:top w:val="nil"/>
          <w:left w:val="nil"/>
          <w:bottom w:val="nil"/>
          <w:right w:val="nil"/>
          <w:between w:val="nil"/>
        </w:pBdr>
        <w:spacing w:after="0"/>
        <w:ind w:left="1440"/>
        <w:jc w:val="both"/>
        <w:rPr>
          <w:rFonts w:eastAsia="Arial" w:cs="Arial"/>
        </w:rPr>
      </w:pPr>
    </w:p>
    <w:p w14:paraId="5D01BC7F" w14:textId="77777777" w:rsidR="0087017A" w:rsidRDefault="006371D8" w:rsidP="00741D73">
      <w:pPr>
        <w:pBdr>
          <w:top w:val="nil"/>
          <w:left w:val="nil"/>
          <w:bottom w:val="nil"/>
          <w:right w:val="nil"/>
          <w:between w:val="nil"/>
        </w:pBdr>
        <w:spacing w:after="0"/>
        <w:ind w:left="426"/>
        <w:jc w:val="both"/>
        <w:rPr>
          <w:rFonts w:eastAsia="Arial" w:cs="Arial"/>
        </w:rPr>
      </w:pPr>
      <w:r>
        <w:rPr>
          <w:rFonts w:eastAsia="Arial" w:cs="Arial"/>
        </w:rPr>
        <w:t xml:space="preserve">Es importante señalar que cinco (5) de las especies más frecuentes en el arbolado urbano de la ciudad, acacias, eucalipto y ciprés, son consideradas como de alta susceptibilidad al volcamiento. </w:t>
      </w:r>
    </w:p>
    <w:p w14:paraId="26A9444E" w14:textId="77777777" w:rsidR="0087017A" w:rsidRDefault="0087017A" w:rsidP="00741D73">
      <w:pPr>
        <w:pBdr>
          <w:top w:val="nil"/>
          <w:left w:val="nil"/>
          <w:bottom w:val="nil"/>
          <w:right w:val="nil"/>
          <w:between w:val="nil"/>
        </w:pBdr>
        <w:spacing w:after="0"/>
        <w:ind w:left="426"/>
        <w:jc w:val="both"/>
        <w:rPr>
          <w:rFonts w:eastAsia="Arial" w:cs="Arial"/>
        </w:rPr>
      </w:pPr>
    </w:p>
    <w:p w14:paraId="46AE3AF4" w14:textId="72740627" w:rsidR="0087017A" w:rsidRDefault="006371D8" w:rsidP="00741D73">
      <w:pPr>
        <w:pBdr>
          <w:top w:val="nil"/>
          <w:left w:val="nil"/>
          <w:bottom w:val="nil"/>
          <w:right w:val="nil"/>
          <w:between w:val="nil"/>
        </w:pBdr>
        <w:spacing w:after="0"/>
        <w:ind w:left="426"/>
        <w:jc w:val="both"/>
        <w:rPr>
          <w:rFonts w:eastAsia="Arial" w:cs="Arial"/>
        </w:rPr>
      </w:pPr>
      <w:r>
        <w:rPr>
          <w:rFonts w:eastAsia="Arial" w:cs="Arial"/>
        </w:rPr>
        <w:t xml:space="preserve">Suba y Usaquén, son las localidades que contienen el mayor número de individuos del arbolado urbano. Las localidades de La Candelaria y Los </w:t>
      </w:r>
      <w:proofErr w:type="gramStart"/>
      <w:r>
        <w:rPr>
          <w:rFonts w:eastAsia="Arial" w:cs="Arial"/>
        </w:rPr>
        <w:t>Mártires,</w:t>
      </w:r>
      <w:proofErr w:type="gramEnd"/>
      <w:r>
        <w:rPr>
          <w:rFonts w:eastAsia="Arial" w:cs="Arial"/>
        </w:rPr>
        <w:t xml:space="preserve"> son las que presentan el menor número de especies y de individuos. </w:t>
      </w:r>
    </w:p>
    <w:p w14:paraId="681CF1B0" w14:textId="3970DFF4" w:rsidR="00707CD3" w:rsidRDefault="00707CD3" w:rsidP="00741D73">
      <w:pPr>
        <w:pBdr>
          <w:top w:val="nil"/>
          <w:left w:val="nil"/>
          <w:bottom w:val="nil"/>
          <w:right w:val="nil"/>
          <w:between w:val="nil"/>
        </w:pBdr>
        <w:spacing w:after="0"/>
        <w:ind w:left="426"/>
        <w:jc w:val="both"/>
        <w:rPr>
          <w:rFonts w:eastAsia="Arial" w:cs="Arial"/>
        </w:rPr>
      </w:pPr>
    </w:p>
    <w:p w14:paraId="3A4C6683" w14:textId="20058563" w:rsidR="00707CD3" w:rsidRDefault="00707CD3" w:rsidP="00741D73">
      <w:pPr>
        <w:pBdr>
          <w:top w:val="nil"/>
          <w:left w:val="nil"/>
          <w:bottom w:val="nil"/>
          <w:right w:val="nil"/>
          <w:between w:val="nil"/>
        </w:pBdr>
        <w:spacing w:after="0"/>
        <w:ind w:left="426"/>
        <w:jc w:val="both"/>
        <w:rPr>
          <w:rFonts w:eastAsia="Arial" w:cs="Arial"/>
        </w:rPr>
      </w:pPr>
    </w:p>
    <w:p w14:paraId="0EDAD99F" w14:textId="7CDB5424" w:rsidR="00707CD3" w:rsidRDefault="00707CD3" w:rsidP="00741D73">
      <w:pPr>
        <w:pBdr>
          <w:top w:val="nil"/>
          <w:left w:val="nil"/>
          <w:bottom w:val="nil"/>
          <w:right w:val="nil"/>
          <w:between w:val="nil"/>
        </w:pBdr>
        <w:spacing w:after="0"/>
        <w:ind w:left="426"/>
        <w:jc w:val="both"/>
        <w:rPr>
          <w:rFonts w:eastAsia="Arial" w:cs="Arial"/>
        </w:rPr>
      </w:pPr>
    </w:p>
    <w:p w14:paraId="0537EFCE" w14:textId="4DF755BA" w:rsidR="00707CD3" w:rsidRDefault="00707CD3" w:rsidP="00741D73">
      <w:pPr>
        <w:pBdr>
          <w:top w:val="nil"/>
          <w:left w:val="nil"/>
          <w:bottom w:val="nil"/>
          <w:right w:val="nil"/>
          <w:between w:val="nil"/>
        </w:pBdr>
        <w:spacing w:after="0"/>
        <w:ind w:left="426"/>
        <w:jc w:val="both"/>
        <w:rPr>
          <w:rFonts w:eastAsia="Arial" w:cs="Arial"/>
        </w:rPr>
      </w:pPr>
    </w:p>
    <w:p w14:paraId="24A09AA3" w14:textId="77777777" w:rsidR="00707CD3" w:rsidRDefault="00707CD3" w:rsidP="00741D73">
      <w:pPr>
        <w:pBdr>
          <w:top w:val="nil"/>
          <w:left w:val="nil"/>
          <w:bottom w:val="nil"/>
          <w:right w:val="nil"/>
          <w:between w:val="nil"/>
        </w:pBdr>
        <w:spacing w:after="0"/>
        <w:ind w:left="426"/>
        <w:jc w:val="both"/>
        <w:rPr>
          <w:rFonts w:eastAsia="Arial" w:cs="Arial"/>
        </w:rPr>
      </w:pPr>
    </w:p>
    <w:p w14:paraId="627C5A88" w14:textId="37159ACB" w:rsidR="0087017A" w:rsidRPr="000C0FDE" w:rsidRDefault="00707CD3" w:rsidP="00A41E4C">
      <w:pPr>
        <w:pStyle w:val="Ttulo1"/>
        <w:ind w:firstLine="0"/>
        <w:rPr>
          <w:bCs/>
          <w:color w:val="000000"/>
        </w:rPr>
      </w:pPr>
      <w:bookmarkStart w:id="70" w:name="_Toc57238633"/>
      <w:r>
        <w:rPr>
          <w:bCs/>
          <w:color w:val="000000"/>
        </w:rPr>
        <w:lastRenderedPageBreak/>
        <w:t xml:space="preserve">CAPÍTULO 3. </w:t>
      </w:r>
      <w:r w:rsidRPr="00560334">
        <w:rPr>
          <w:bCs/>
          <w:color w:val="000000"/>
        </w:rPr>
        <w:t>FACTORES SOCIOECONÓMICOS.</w:t>
      </w:r>
      <w:bookmarkEnd w:id="70"/>
    </w:p>
    <w:p w14:paraId="57AA0E10" w14:textId="660A02B4" w:rsidR="0087017A" w:rsidRPr="00560334" w:rsidRDefault="00722537" w:rsidP="00A41E4C">
      <w:pPr>
        <w:pStyle w:val="Ttulo2"/>
        <w:ind w:firstLine="0"/>
      </w:pPr>
      <w:bookmarkStart w:id="71" w:name="_Toc57238634"/>
      <w:proofErr w:type="gramStart"/>
      <w:r w:rsidRPr="00560334">
        <w:t>3</w:t>
      </w:r>
      <w:r w:rsidR="006371D8" w:rsidRPr="00560334">
        <w:t>.1</w:t>
      </w:r>
      <w:r w:rsidR="000C0FDE">
        <w:t xml:space="preserve"> </w:t>
      </w:r>
      <w:r w:rsidR="006371D8" w:rsidRPr="00560334">
        <w:t xml:space="preserve"> Características</w:t>
      </w:r>
      <w:proofErr w:type="gramEnd"/>
      <w:r w:rsidR="006371D8" w:rsidRPr="00560334">
        <w:t xml:space="preserve"> demográficas.</w:t>
      </w:r>
      <w:bookmarkEnd w:id="71"/>
      <w:r w:rsidR="006371D8" w:rsidRPr="00560334">
        <w:t xml:space="preserve"> </w:t>
      </w:r>
    </w:p>
    <w:p w14:paraId="6D445E25" w14:textId="34AD551F" w:rsidR="00722537" w:rsidRDefault="00722537" w:rsidP="00560334">
      <w:pPr>
        <w:pBdr>
          <w:top w:val="nil"/>
          <w:left w:val="nil"/>
          <w:bottom w:val="nil"/>
          <w:right w:val="nil"/>
          <w:between w:val="nil"/>
        </w:pBdr>
        <w:spacing w:after="0"/>
        <w:ind w:left="426"/>
        <w:jc w:val="both"/>
        <w:rPr>
          <w:rFonts w:eastAsia="Arial" w:cs="Arial"/>
          <w:color w:val="000000"/>
        </w:rPr>
      </w:pPr>
      <w:r w:rsidRPr="00722537">
        <w:rPr>
          <w:rFonts w:eastAsia="Arial" w:cs="Arial"/>
          <w:color w:val="000000"/>
        </w:rPr>
        <w:t>La Encuesta Multipropósito 2017 identificó que Los Mártires cuenta con 93.716 habitantes, mientras que en la EMB 2014 registró 99.792 habitantes, lo que representa una disminución de 6,1% entre las dos mediciones, es decir 6.076 personas menos. En esta localidad la distribución por sexo de la población es: 50,5% mujeres y 49,5% hombres, conformando 35.014 hogares, 1.738 más que en 2014, lo que sugiere que los hogares en la localidad son cada vez menos numerosos. La cantidad de mujeres disminuyó 4,5% en el tiempo transcurrido entre las dos mediciones, lo que equivale a 2.245 mujeres menos y la cantidad de hombres se redujo 7,6%, 3.831 hombres menos.</w:t>
      </w:r>
    </w:p>
    <w:p w14:paraId="3DDC53A6" w14:textId="77777777" w:rsidR="00560334" w:rsidRDefault="00560334" w:rsidP="00560334">
      <w:pPr>
        <w:pBdr>
          <w:top w:val="nil"/>
          <w:left w:val="nil"/>
          <w:bottom w:val="nil"/>
          <w:right w:val="nil"/>
          <w:between w:val="nil"/>
        </w:pBdr>
        <w:spacing w:after="0"/>
        <w:ind w:firstLine="0"/>
        <w:jc w:val="both"/>
        <w:rPr>
          <w:rFonts w:eastAsia="Arial" w:cs="Arial"/>
          <w:color w:val="000000"/>
        </w:rPr>
      </w:pPr>
    </w:p>
    <w:p w14:paraId="5BA3F860" w14:textId="6760EA2E" w:rsidR="00722537" w:rsidRPr="00560334" w:rsidRDefault="00722537" w:rsidP="00A41E4C">
      <w:pPr>
        <w:pStyle w:val="Ttulo2"/>
        <w:ind w:firstLine="0"/>
      </w:pPr>
      <w:bookmarkStart w:id="72" w:name="_Toc57238635"/>
      <w:proofErr w:type="gramStart"/>
      <w:r w:rsidRPr="00560334">
        <w:t>3</w:t>
      </w:r>
      <w:r w:rsidR="006371D8" w:rsidRPr="00560334">
        <w:t xml:space="preserve">.2 </w:t>
      </w:r>
      <w:r w:rsidR="000C0FDE">
        <w:t xml:space="preserve"> </w:t>
      </w:r>
      <w:r w:rsidR="006371D8" w:rsidRPr="00560334">
        <w:t>Crecimiento</w:t>
      </w:r>
      <w:proofErr w:type="gramEnd"/>
      <w:r w:rsidRPr="00560334">
        <w:t>.</w:t>
      </w:r>
      <w:bookmarkEnd w:id="72"/>
    </w:p>
    <w:p w14:paraId="3C7C541D" w14:textId="54416B74" w:rsidR="00722537" w:rsidRDefault="00722537" w:rsidP="00560334">
      <w:pPr>
        <w:pBdr>
          <w:top w:val="nil"/>
          <w:left w:val="nil"/>
          <w:bottom w:val="nil"/>
          <w:right w:val="nil"/>
          <w:between w:val="nil"/>
        </w:pBdr>
        <w:spacing w:after="0"/>
        <w:ind w:left="426"/>
        <w:jc w:val="both"/>
      </w:pPr>
      <w:r>
        <w:t>Al hacer análisis de la evolución de la población, se encuentra que a través del tiempo tiende a reducir su ritmo de crecimiento, lo cual implica cambios importantes en la vida social y económica de la ciudad, y por ende cambio en las necesidades y demandas particulares de las personas.</w:t>
      </w:r>
    </w:p>
    <w:p w14:paraId="0F8D98DE" w14:textId="462E2376" w:rsidR="00560334" w:rsidRDefault="00560334" w:rsidP="00560334">
      <w:pPr>
        <w:pBdr>
          <w:top w:val="nil"/>
          <w:left w:val="nil"/>
          <w:bottom w:val="nil"/>
          <w:right w:val="nil"/>
          <w:between w:val="nil"/>
        </w:pBdr>
        <w:spacing w:after="0"/>
        <w:ind w:firstLine="0"/>
        <w:jc w:val="both"/>
      </w:pPr>
    </w:p>
    <w:p w14:paraId="73134326" w14:textId="53AC2DB0" w:rsidR="00560334" w:rsidRPr="00560334" w:rsidRDefault="00560334" w:rsidP="00A41E4C">
      <w:pPr>
        <w:pStyle w:val="Ttulo2"/>
        <w:ind w:firstLine="0"/>
      </w:pPr>
      <w:bookmarkStart w:id="73" w:name="_Toc57238636"/>
      <w:proofErr w:type="gramStart"/>
      <w:r w:rsidRPr="00560334">
        <w:t>3.3</w:t>
      </w:r>
      <w:r w:rsidR="000C0FDE">
        <w:t xml:space="preserve"> </w:t>
      </w:r>
      <w:r w:rsidRPr="00560334">
        <w:t xml:space="preserve"> Estratificación</w:t>
      </w:r>
      <w:proofErr w:type="gramEnd"/>
      <w:r w:rsidR="00707CD3">
        <w:t>.</w:t>
      </w:r>
      <w:bookmarkEnd w:id="73"/>
    </w:p>
    <w:p w14:paraId="223A4A2C" w14:textId="5B76AE95" w:rsidR="00560334" w:rsidRDefault="00560334" w:rsidP="00560334">
      <w:pPr>
        <w:pBdr>
          <w:top w:val="nil"/>
          <w:left w:val="nil"/>
          <w:bottom w:val="nil"/>
          <w:right w:val="nil"/>
          <w:between w:val="nil"/>
        </w:pBdr>
        <w:spacing w:after="0"/>
        <w:ind w:left="426"/>
        <w:jc w:val="both"/>
      </w:pPr>
      <w:r>
        <w:t>El estrato predominante en la localidad es el 3, con 85,3% de las viviendas (Encuesta multipropósito 2017), el tercer porcentaje más alto de la ciudad para este estrato, seguido por el estrato 4 con 8,5% y el estrato 2 con 6,2%. En cuanto al tipo de vivienda, se contabilizaron 7.066 hogares habitando casas, 20,2% de los hogares de la localidad, 26.894 en apartamentos, 76,8% y 1.054 en habitaciones, correspondiente a 3% (el tercer porcentaje más alto de la ciudad para este tipo de ocupación).</w:t>
      </w:r>
    </w:p>
    <w:p w14:paraId="73146B29" w14:textId="715FE659" w:rsidR="00560334" w:rsidRDefault="00560334" w:rsidP="00560334">
      <w:pPr>
        <w:pBdr>
          <w:top w:val="nil"/>
          <w:left w:val="nil"/>
          <w:bottom w:val="nil"/>
          <w:right w:val="nil"/>
          <w:between w:val="nil"/>
        </w:pBdr>
        <w:spacing w:after="0"/>
        <w:ind w:left="426"/>
        <w:jc w:val="both"/>
      </w:pPr>
    </w:p>
    <w:p w14:paraId="0714D840" w14:textId="2EE8610D" w:rsidR="00560334" w:rsidRPr="000C0FDE" w:rsidRDefault="00560334" w:rsidP="00A41E4C">
      <w:pPr>
        <w:pStyle w:val="Ttulo2"/>
        <w:ind w:firstLine="0"/>
      </w:pPr>
      <w:bookmarkStart w:id="74" w:name="_Toc57238637"/>
      <w:proofErr w:type="gramStart"/>
      <w:r w:rsidRPr="000C0FDE">
        <w:t>3.4</w:t>
      </w:r>
      <w:r w:rsidR="000C0FDE">
        <w:t xml:space="preserve"> </w:t>
      </w:r>
      <w:r w:rsidRPr="000C0FDE">
        <w:t xml:space="preserve"> </w:t>
      </w:r>
      <w:r w:rsidR="000C0FDE" w:rsidRPr="000C0FDE">
        <w:t>Viviendas</w:t>
      </w:r>
      <w:proofErr w:type="gramEnd"/>
      <w:r w:rsidR="000C0FDE" w:rsidRPr="000C0FDE">
        <w:t xml:space="preserve"> de uso comercial.</w:t>
      </w:r>
      <w:bookmarkEnd w:id="74"/>
    </w:p>
    <w:p w14:paraId="62088AB7" w14:textId="2691E291" w:rsidR="000C0FDE" w:rsidRDefault="000C0FDE" w:rsidP="00560334">
      <w:pPr>
        <w:pBdr>
          <w:top w:val="nil"/>
          <w:left w:val="nil"/>
          <w:bottom w:val="nil"/>
          <w:right w:val="nil"/>
          <w:between w:val="nil"/>
        </w:pBdr>
        <w:spacing w:after="0"/>
        <w:ind w:left="426"/>
        <w:jc w:val="both"/>
      </w:pPr>
      <w:r>
        <w:t>Los Mártires es la segunda localidad con más alto porcentaje de viviendas de uso comercial en la ciudad (9,6%), lo que la presenta como una localidad con gran potencial para estimular el desarrollo comercial. Es pertinente resaltar que la localidad cuenta con plazas como Paloquemao, España o Samper Mendoza y centros comerciales como Puerto Príncipe, San José y Calima, entre otros. El porcentaje de viviendas cuyo uso es exclusivamente residencial es 90,4% (31.649 inmuebles).</w:t>
      </w:r>
    </w:p>
    <w:p w14:paraId="45AD95B7" w14:textId="77777777" w:rsidR="00707CD3" w:rsidRDefault="00707CD3" w:rsidP="00560334">
      <w:pPr>
        <w:pBdr>
          <w:top w:val="nil"/>
          <w:left w:val="nil"/>
          <w:bottom w:val="nil"/>
          <w:right w:val="nil"/>
          <w:between w:val="nil"/>
        </w:pBdr>
        <w:spacing w:after="0"/>
        <w:ind w:left="426"/>
        <w:jc w:val="both"/>
      </w:pPr>
    </w:p>
    <w:p w14:paraId="5CC4AAD7" w14:textId="7FDAE16E" w:rsidR="000C0FDE" w:rsidRDefault="000C0FDE" w:rsidP="00560334">
      <w:pPr>
        <w:pBdr>
          <w:top w:val="nil"/>
          <w:left w:val="nil"/>
          <w:bottom w:val="nil"/>
          <w:right w:val="nil"/>
          <w:between w:val="nil"/>
        </w:pBdr>
        <w:spacing w:after="0"/>
        <w:ind w:left="426"/>
        <w:jc w:val="both"/>
      </w:pPr>
    </w:p>
    <w:p w14:paraId="0B072550" w14:textId="51F1FA2E" w:rsidR="000C0FDE" w:rsidRPr="000C0FDE" w:rsidRDefault="000C0FDE" w:rsidP="00A41E4C">
      <w:pPr>
        <w:pStyle w:val="Ttulo2"/>
        <w:ind w:firstLine="0"/>
      </w:pPr>
      <w:bookmarkStart w:id="75" w:name="_Toc57238638"/>
      <w:proofErr w:type="gramStart"/>
      <w:r w:rsidRPr="000C0FDE">
        <w:lastRenderedPageBreak/>
        <w:t xml:space="preserve">3.5 </w:t>
      </w:r>
      <w:r>
        <w:t xml:space="preserve"> </w:t>
      </w:r>
      <w:r w:rsidRPr="000C0FDE">
        <w:t>Tasa</w:t>
      </w:r>
      <w:proofErr w:type="gramEnd"/>
      <w:r w:rsidRPr="000C0FDE">
        <w:t xml:space="preserve"> de ocupación</w:t>
      </w:r>
      <w:r w:rsidR="005924FF">
        <w:t xml:space="preserve"> e informalidad.</w:t>
      </w:r>
      <w:bookmarkEnd w:id="75"/>
    </w:p>
    <w:p w14:paraId="7A6CD65E" w14:textId="53D1611C" w:rsidR="000C0FDE" w:rsidRDefault="000C0FDE" w:rsidP="00560334">
      <w:pPr>
        <w:pBdr>
          <w:top w:val="nil"/>
          <w:left w:val="nil"/>
          <w:bottom w:val="nil"/>
          <w:right w:val="nil"/>
          <w:between w:val="nil"/>
        </w:pBdr>
        <w:spacing w:after="0"/>
        <w:ind w:left="426"/>
        <w:jc w:val="both"/>
      </w:pPr>
      <w:r>
        <w:t>La tasa de ocupación de la localidad presentó una disminución de 1,6 puntos porcentuales (p.p.) al pasar de 59,6% en la EMB 2014 a 58% en la EMB 2017, equivalente a una variación de -2,7%. Así mismo, la cantidad de ocupados se redujo, pasando de 50.437 en 2014 a 48.113 en 2017, 2.324 ocupados menos entre las dos mediciones. El porcentaje de la población en edad de trabajar pasó de 84,8% en 2014 a 88,5% en 2017, un incremento de 3,7 p.p. y la tasa global de participación aumentó 1,5 p.p. al subir de 61,5% a 63,1%. Al desglosar la ocupación de la localidad por posición, Los Mártires está distribuida así: 45,6% son empleados particulares, 31,4% empleados por cuenta propia, 9% profesionales independientes y 9,8% empleados del gobierno, el restante 4,1% se encuentra distribuido entre patrones, empleadores, empleados domésticos y otros. En suma, los asalariados son 26.681 personas, 55,5% de los ocupados, mientras que 21.432 personas, 44,5% de los ocupados son no asalariados, lo que sugiere que el grado de formalización no es tan alto como en otras localidades de la ciudad.</w:t>
      </w:r>
    </w:p>
    <w:p w14:paraId="22874C63" w14:textId="77777777" w:rsidR="000C0FDE" w:rsidRDefault="000C0FDE" w:rsidP="00560334">
      <w:pPr>
        <w:pBdr>
          <w:top w:val="nil"/>
          <w:left w:val="nil"/>
          <w:bottom w:val="nil"/>
          <w:right w:val="nil"/>
          <w:between w:val="nil"/>
        </w:pBdr>
        <w:spacing w:after="0"/>
        <w:ind w:left="426"/>
        <w:jc w:val="both"/>
      </w:pPr>
    </w:p>
    <w:p w14:paraId="1ABB7C89" w14:textId="6B46F096" w:rsidR="000C0FDE" w:rsidRDefault="000C0FDE" w:rsidP="00560334">
      <w:pPr>
        <w:pBdr>
          <w:top w:val="nil"/>
          <w:left w:val="nil"/>
          <w:bottom w:val="nil"/>
          <w:right w:val="nil"/>
          <w:between w:val="nil"/>
        </w:pBdr>
        <w:spacing w:after="0"/>
        <w:ind w:left="426"/>
        <w:jc w:val="both"/>
      </w:pPr>
      <w:r>
        <w:t>La localidad de Los Mártires reportó en la EMB 2017 una tasa de informalidad DANE de 47,1%, 8,1 p.p. menos que en 2014, equivalente a 5.187 personas menos y la tasa de informalidad fuerte se calculó en 54,8%, 3,1 p.p. por debajo de la de 2014, correspondiente a 2.846 personas menos.</w:t>
      </w:r>
    </w:p>
    <w:p w14:paraId="2597B55A" w14:textId="48150ADF" w:rsidR="000C0FDE" w:rsidRDefault="000C0FDE" w:rsidP="00560334">
      <w:pPr>
        <w:pBdr>
          <w:top w:val="nil"/>
          <w:left w:val="nil"/>
          <w:bottom w:val="nil"/>
          <w:right w:val="nil"/>
          <w:between w:val="nil"/>
        </w:pBdr>
        <w:spacing w:after="0"/>
        <w:ind w:left="426"/>
        <w:jc w:val="both"/>
      </w:pPr>
    </w:p>
    <w:p w14:paraId="6A4EEA4C" w14:textId="79742D13" w:rsidR="000C0FDE" w:rsidRDefault="000C0FDE" w:rsidP="00A41E4C">
      <w:pPr>
        <w:pStyle w:val="Ttulo2"/>
        <w:ind w:firstLine="0"/>
      </w:pPr>
      <w:bookmarkStart w:id="76" w:name="_Toc57238639"/>
      <w:r w:rsidRPr="000C0FDE">
        <w:t>3.6 Nivel de ingresos.</w:t>
      </w:r>
      <w:bookmarkEnd w:id="76"/>
    </w:p>
    <w:p w14:paraId="78F23579" w14:textId="2084025D" w:rsidR="000C0FDE" w:rsidRPr="000C0FDE" w:rsidRDefault="000C0FDE" w:rsidP="00560334">
      <w:pPr>
        <w:pBdr>
          <w:top w:val="nil"/>
          <w:left w:val="nil"/>
          <w:bottom w:val="nil"/>
          <w:right w:val="nil"/>
          <w:between w:val="nil"/>
        </w:pBdr>
        <w:spacing w:after="0"/>
        <w:ind w:left="426"/>
        <w:jc w:val="both"/>
        <w:rPr>
          <w:b/>
          <w:bCs/>
        </w:rPr>
      </w:pPr>
      <w:r>
        <w:t>Al ser consultados (Encuesta Multipropósito 2017) sobre el nivel de ingresos para cubrir los gastos mínimos del hogar, los resultados obtenidos fueron: 64,1% considera que su ingreso alcanza solo para cubrir sus gastos mínimos; 23,6% que su ingreso alcanza para cubrir más que sus gastos mínimos; y 12,3% piensa que su ingreso no alcanza para cubrir sus gastos mínimos.</w:t>
      </w:r>
    </w:p>
    <w:p w14:paraId="203BDEAA" w14:textId="77777777" w:rsidR="00A41E4C" w:rsidRDefault="00A41E4C" w:rsidP="00A41E4C">
      <w:pPr>
        <w:pStyle w:val="Ttulo2"/>
        <w:ind w:firstLine="0"/>
      </w:pPr>
    </w:p>
    <w:p w14:paraId="192E4D5D" w14:textId="52CA433E" w:rsidR="0087017A" w:rsidRPr="000F68BA" w:rsidRDefault="00A41E4C" w:rsidP="00A41E4C">
      <w:pPr>
        <w:pStyle w:val="Ttulo2"/>
        <w:ind w:firstLine="0"/>
      </w:pPr>
      <w:bookmarkStart w:id="77" w:name="_Toc57238640"/>
      <w:proofErr w:type="gramStart"/>
      <w:r>
        <w:t xml:space="preserve">3.7 </w:t>
      </w:r>
      <w:r w:rsidR="00C649FC">
        <w:t xml:space="preserve"> </w:t>
      </w:r>
      <w:r w:rsidR="00C649FC" w:rsidRPr="000F68BA">
        <w:t>Equipamientos</w:t>
      </w:r>
      <w:proofErr w:type="gramEnd"/>
      <w:r w:rsidR="00C649FC" w:rsidRPr="000F68BA">
        <w:t>.</w:t>
      </w:r>
      <w:bookmarkEnd w:id="77"/>
    </w:p>
    <w:p w14:paraId="501847CC" w14:textId="2C93FE8D" w:rsidR="00C649FC" w:rsidRPr="000F68BA" w:rsidRDefault="00BB5F3E" w:rsidP="00BB5F3E">
      <w:pPr>
        <w:pStyle w:val="Ttulo3"/>
        <w:ind w:firstLine="0"/>
      </w:pPr>
      <w:bookmarkStart w:id="78" w:name="_Toc57238641"/>
      <w:r>
        <w:t xml:space="preserve">3.7.1 </w:t>
      </w:r>
      <w:r w:rsidR="00C649FC" w:rsidRPr="000F68BA">
        <w:t>Institucionales.</w:t>
      </w:r>
      <w:bookmarkEnd w:id="78"/>
    </w:p>
    <w:p w14:paraId="2753FB3B" w14:textId="7E45E862" w:rsidR="00E75218" w:rsidRDefault="00E75218" w:rsidP="000F68BA">
      <w:pPr>
        <w:pStyle w:val="Prrafodelista"/>
        <w:pBdr>
          <w:top w:val="nil"/>
          <w:left w:val="nil"/>
          <w:bottom w:val="nil"/>
          <w:right w:val="nil"/>
          <w:between w:val="nil"/>
        </w:pBdr>
        <w:spacing w:after="0"/>
        <w:ind w:left="426"/>
        <w:jc w:val="both"/>
      </w:pPr>
      <w:r>
        <w:t>En la localidad de Los Mártires se localiza únicamente 1 equipamiento recreativo y deportivo que corresponde a 1 coliseo.</w:t>
      </w:r>
    </w:p>
    <w:p w14:paraId="5AF0F390" w14:textId="77777777" w:rsidR="000F68BA" w:rsidRDefault="000F68BA" w:rsidP="009D31D9">
      <w:pPr>
        <w:pStyle w:val="Prrafodelista"/>
        <w:pBdr>
          <w:top w:val="nil"/>
          <w:left w:val="nil"/>
          <w:bottom w:val="nil"/>
          <w:right w:val="nil"/>
          <w:between w:val="nil"/>
        </w:pBdr>
        <w:spacing w:after="0"/>
        <w:ind w:left="0"/>
        <w:jc w:val="both"/>
      </w:pPr>
    </w:p>
    <w:p w14:paraId="7BAF768F" w14:textId="2E4B6C86" w:rsidR="00C649FC" w:rsidRPr="000F68BA" w:rsidRDefault="00BB5F3E" w:rsidP="00BB5F3E">
      <w:pPr>
        <w:pStyle w:val="Ttulo3"/>
        <w:ind w:firstLine="0"/>
      </w:pPr>
      <w:bookmarkStart w:id="79" w:name="_Toc57238642"/>
      <w:r>
        <w:lastRenderedPageBreak/>
        <w:t xml:space="preserve">3.7.2 </w:t>
      </w:r>
      <w:r w:rsidR="00C649FC" w:rsidRPr="000F68BA">
        <w:t>Educativos.</w:t>
      </w:r>
      <w:bookmarkEnd w:id="79"/>
    </w:p>
    <w:p w14:paraId="38BDC562" w14:textId="3E1F3EA8" w:rsidR="00E75218" w:rsidRDefault="00E75218" w:rsidP="000F68BA">
      <w:pPr>
        <w:pStyle w:val="Prrafodelista"/>
        <w:pBdr>
          <w:top w:val="nil"/>
          <w:left w:val="nil"/>
          <w:bottom w:val="nil"/>
          <w:right w:val="nil"/>
          <w:between w:val="nil"/>
        </w:pBdr>
        <w:spacing w:after="0"/>
        <w:ind w:left="426"/>
        <w:jc w:val="both"/>
      </w:pPr>
      <w:r>
        <w:t>De acuerdo con la información suministrada por el Plan Maestro de Equipamientos de Educación, en Los Mártires se localizan 11 colegios oficiales; en lo que refiere a UPZ, La Sabana concentra el mayor número de establecimientos educativos oficiales, con 7 y la UPZ Santa Isabel registra 3 colegios oficiales. En la localidad se ubican, además, 50 colegios no oficiales, 1 universidad, 1 Institución Universitaria, y 1 Institución de Régimen Especial.</w:t>
      </w:r>
    </w:p>
    <w:p w14:paraId="246075F1" w14:textId="3B76C100" w:rsidR="00C649FC" w:rsidRPr="000F68BA" w:rsidRDefault="00BB5F3E" w:rsidP="00BB5F3E">
      <w:pPr>
        <w:pStyle w:val="Ttulo3"/>
        <w:ind w:firstLine="0"/>
      </w:pPr>
      <w:bookmarkStart w:id="80" w:name="_Toc57238643"/>
      <w:r>
        <w:t xml:space="preserve">3.7.3 </w:t>
      </w:r>
      <w:r w:rsidR="00C649FC" w:rsidRPr="000F68BA">
        <w:t>Salud.</w:t>
      </w:r>
      <w:bookmarkEnd w:id="80"/>
    </w:p>
    <w:p w14:paraId="7DE35FE6" w14:textId="00E1332D" w:rsidR="00E75218" w:rsidRDefault="00E75218" w:rsidP="000F68BA">
      <w:pPr>
        <w:pStyle w:val="Prrafodelista"/>
        <w:pBdr>
          <w:top w:val="nil"/>
          <w:left w:val="nil"/>
          <w:bottom w:val="nil"/>
          <w:right w:val="nil"/>
          <w:between w:val="nil"/>
        </w:pBdr>
        <w:spacing w:after="0"/>
        <w:ind w:left="426"/>
        <w:jc w:val="both"/>
      </w:pPr>
      <w:r>
        <w:t xml:space="preserve">En la </w:t>
      </w:r>
      <w:proofErr w:type="gramStart"/>
      <w:r>
        <w:t>localidad  se</w:t>
      </w:r>
      <w:proofErr w:type="gramEnd"/>
      <w:r>
        <w:t xml:space="preserve"> ubican 24 equipamientos de salud, que corresponden a 5 Centros de Atención Ambulatoria –CAA-, 9 Instituciones de Nivel 1, 4 Instituciones de Nivel 3 y 6 Unidades Primarias de Atención – UPA En esta localidad también se localizan 513 instituciones privadas prestadoras de servicios de salud que corresponden a laboratorios, consultorios médicos y odontológicos y centros de salud, entre otros. En la UPZ Santa Isabel se localizan 280 instituciones privadas prestadoras de salud y en la UPZ La Sabana se localizan 233.</w:t>
      </w:r>
    </w:p>
    <w:p w14:paraId="67B27562" w14:textId="7CFD9D01" w:rsidR="00C649FC" w:rsidRPr="000F68BA" w:rsidRDefault="00BB5F3E" w:rsidP="00BB5F3E">
      <w:pPr>
        <w:pStyle w:val="Ttulo3"/>
        <w:ind w:firstLine="0"/>
      </w:pPr>
      <w:bookmarkStart w:id="81" w:name="_Toc57238644"/>
      <w:r>
        <w:t xml:space="preserve">3.7.4 </w:t>
      </w:r>
      <w:r w:rsidR="00C649FC" w:rsidRPr="000F68BA">
        <w:t>Organización comunitaria.</w:t>
      </w:r>
      <w:bookmarkEnd w:id="81"/>
    </w:p>
    <w:p w14:paraId="412988B3" w14:textId="16FCEC6F" w:rsidR="00E75218" w:rsidRDefault="00E75218" w:rsidP="000F68BA">
      <w:pPr>
        <w:pStyle w:val="Prrafodelista"/>
        <w:pBdr>
          <w:top w:val="nil"/>
          <w:left w:val="nil"/>
          <w:bottom w:val="nil"/>
          <w:right w:val="nil"/>
          <w:between w:val="nil"/>
        </w:pBdr>
        <w:spacing w:after="0"/>
        <w:ind w:left="426"/>
        <w:jc w:val="both"/>
      </w:pPr>
      <w:r>
        <w:t>En Los Mártires se localizan 130 equipamientos de bienestar social, dentro de los cuales se destacan los destinados a la asistencia básica que representan el 92,3%, en este grupo se encuentran los jardines sociales e infantiles, casas vecinales, hogares infantiles y comunitarios que atienden a los menores, con edades entre los 0 y 5 años, clasificados entre los estratos 1 y 2. Como se observa en el cuadro, la UPZ La Sabana concentra el mayor número de este tipo de equipamientos, con 80, en la UPZ Santa Isabel se localizan 40.</w:t>
      </w:r>
    </w:p>
    <w:p w14:paraId="29A6A34D" w14:textId="41391AAF" w:rsidR="00C649FC" w:rsidRPr="000F68BA" w:rsidRDefault="00BB5F3E" w:rsidP="00BB5F3E">
      <w:pPr>
        <w:pStyle w:val="Ttulo3"/>
        <w:ind w:firstLine="0"/>
      </w:pPr>
      <w:bookmarkStart w:id="82" w:name="_Toc57238645"/>
      <w:r>
        <w:t xml:space="preserve">3.7.5 </w:t>
      </w:r>
      <w:r w:rsidR="00C649FC" w:rsidRPr="000F68BA">
        <w:t>Cultura.</w:t>
      </w:r>
      <w:bookmarkEnd w:id="82"/>
    </w:p>
    <w:p w14:paraId="7001FB80" w14:textId="77777777" w:rsidR="00E75218" w:rsidRDefault="00E75218" w:rsidP="000F68BA">
      <w:pPr>
        <w:pStyle w:val="Prrafodelista"/>
        <w:pBdr>
          <w:top w:val="nil"/>
          <w:left w:val="nil"/>
          <w:bottom w:val="nil"/>
          <w:right w:val="nil"/>
          <w:between w:val="nil"/>
        </w:pBdr>
        <w:spacing w:after="0"/>
        <w:ind w:left="426"/>
        <w:jc w:val="both"/>
      </w:pPr>
      <w:r>
        <w:t xml:space="preserve">Del total de Bienes de Interés Cultural de Los Mártires, 281 se localizan en la UPZ La Sabana, en razón a que este sector central de la ciudad, posee valores históricos, urbanísticos y arquitectónicos; en esta UPZ se localiza el liceo Nacional Agustín Nieto Caballero, el hospital San José, la Dirección de Reclutamiento del ejército, el cementerio central, el edificio sede del Instituto Técnico Central y la estación de la Sabana que están declarados como Conservación Monumental; declarados en la categoría de Conservación Integral, se ubican en esta UPZ, el Liceo Nacional Antonia Santos, la iglesia Voto Nacional, el edificio Manuel M. Peraza, la fábrica de pastas El Gallo, la Estación de Policía, la iglesia Nuestra Señora de Fátima, el edifico Cudecom, la clínica Santa Gema, el teatro San Jorge, </w:t>
      </w:r>
      <w:r>
        <w:lastRenderedPageBreak/>
        <w:t xml:space="preserve">la iglesia de la Sagrada Pasión Casa Cural, la fábrica de chocolates Andino, el colegio Sans Facón, la casa San Vicente de Paul, la clínica San Pedro Claver y la iglesia Santa Teresita del Niño Jesús . También se ubican la plaza Paloquemao, el cementerio </w:t>
      </w:r>
      <w:proofErr w:type="gramStart"/>
      <w:r>
        <w:t>Hebreo</w:t>
      </w:r>
      <w:proofErr w:type="gramEnd"/>
      <w:r>
        <w:t xml:space="preserve">, el cementerio Alemán y el cementerio Británico que fueron declarados en la categoría de conservación Tipológica, y en categoría de Restitución Total se localiza el Molino El Cóndor, entre otros. </w:t>
      </w:r>
    </w:p>
    <w:p w14:paraId="697B34DB" w14:textId="77777777" w:rsidR="00E75218" w:rsidRDefault="00E75218" w:rsidP="009D31D9">
      <w:pPr>
        <w:pStyle w:val="Prrafodelista"/>
        <w:pBdr>
          <w:top w:val="nil"/>
          <w:left w:val="nil"/>
          <w:bottom w:val="nil"/>
          <w:right w:val="nil"/>
          <w:between w:val="nil"/>
        </w:pBdr>
        <w:spacing w:after="0"/>
        <w:ind w:left="0"/>
        <w:jc w:val="both"/>
      </w:pPr>
    </w:p>
    <w:p w14:paraId="28B68D24" w14:textId="21B46D31" w:rsidR="00E75218" w:rsidRDefault="00E75218" w:rsidP="000F68BA">
      <w:pPr>
        <w:pStyle w:val="Prrafodelista"/>
        <w:pBdr>
          <w:top w:val="nil"/>
          <w:left w:val="nil"/>
          <w:bottom w:val="nil"/>
          <w:right w:val="nil"/>
          <w:between w:val="nil"/>
        </w:pBdr>
        <w:spacing w:after="0"/>
        <w:ind w:left="426"/>
        <w:jc w:val="both"/>
      </w:pPr>
      <w:r>
        <w:t>En la UPZ Santa Isabel se localizan la iglesia Santa Helena, el hospital La Misericordia, declarados en la categoría de Conservación Integral La localidad de Los Mártires posee un total de 10 equipamientos culturales, dentro de los cuales 5 pertenecen al grupo que corresponde encuentro y cohesión social, 3 corresponden a espacios de expresión y 2 son de la categoría de memoria y avance cultural. La UPZ La Sabana figura con el mayor número de equipamientos culturales con 8 y la UPZ Santa Isabel presenta sólo 2 equipamientos.</w:t>
      </w:r>
    </w:p>
    <w:p w14:paraId="402EE2C1" w14:textId="627E8C1E" w:rsidR="002B631A" w:rsidRDefault="002B631A" w:rsidP="00BB5F3E">
      <w:pPr>
        <w:pStyle w:val="Ttulo1"/>
        <w:ind w:firstLine="0"/>
      </w:pPr>
      <w:bookmarkStart w:id="83" w:name="_Toc57238646"/>
      <w:r w:rsidRPr="002B631A">
        <w:t>CAPÍTULO 4.  GESTIÓN DEL RIESGO.</w:t>
      </w:r>
      <w:bookmarkStart w:id="84" w:name="_Hlk56641464"/>
      <w:bookmarkEnd w:id="83"/>
    </w:p>
    <w:p w14:paraId="2BD24107" w14:textId="5694C6B1" w:rsidR="00387583" w:rsidRDefault="00387583" w:rsidP="00BB5F3E">
      <w:pPr>
        <w:pStyle w:val="Ttulo2"/>
        <w:ind w:firstLine="0"/>
      </w:pPr>
      <w:bookmarkStart w:id="85" w:name="_Toc57238647"/>
      <w:r>
        <w:t xml:space="preserve">4.1 Identificación </w:t>
      </w:r>
      <w:bookmarkEnd w:id="84"/>
      <w:r>
        <w:t xml:space="preserve">de </w:t>
      </w:r>
      <w:proofErr w:type="gramStart"/>
      <w:r>
        <w:t>escenarios  de</w:t>
      </w:r>
      <w:proofErr w:type="gramEnd"/>
      <w:r>
        <w:t xml:space="preserve"> riesgo.</w:t>
      </w:r>
      <w:bookmarkEnd w:id="85"/>
    </w:p>
    <w:p w14:paraId="37E490D3" w14:textId="77777777" w:rsidR="00387583" w:rsidRPr="00F574EF" w:rsidRDefault="00387583" w:rsidP="00F574EF">
      <w:pPr>
        <w:pStyle w:val="Prrafodelista"/>
        <w:pBdr>
          <w:top w:val="nil"/>
          <w:left w:val="nil"/>
          <w:bottom w:val="nil"/>
          <w:right w:val="nil"/>
          <w:between w:val="nil"/>
        </w:pBdr>
        <w:spacing w:after="0" w:line="240" w:lineRule="auto"/>
        <w:ind w:left="0" w:firstLine="0"/>
        <w:jc w:val="both"/>
        <w:rPr>
          <w:rFonts w:eastAsia="Arial" w:cs="Arial"/>
          <w:b/>
          <w:bCs/>
          <w:color w:val="000000"/>
          <w:sz w:val="18"/>
          <w:szCs w:val="18"/>
        </w:rPr>
      </w:pPr>
    </w:p>
    <w:p w14:paraId="79082AD3" w14:textId="0C85AEE9" w:rsidR="00B740FA" w:rsidRDefault="00B740FA" w:rsidP="00B740FA">
      <w:pPr>
        <w:pStyle w:val="Descripcin"/>
        <w:keepNext/>
        <w:spacing w:after="0"/>
        <w:jc w:val="center"/>
      </w:pPr>
      <w:bookmarkStart w:id="86" w:name="_Toc57227498"/>
      <w:r>
        <w:t xml:space="preserve">Tabla </w:t>
      </w:r>
      <w:r w:rsidR="007E54F3">
        <w:fldChar w:fldCharType="begin"/>
      </w:r>
      <w:r w:rsidR="007E54F3">
        <w:instrText xml:space="preserve"> SEQ Tabla \* ARABIC </w:instrText>
      </w:r>
      <w:r w:rsidR="007E54F3">
        <w:fldChar w:fldCharType="separate"/>
      </w:r>
      <w:r w:rsidR="00C37D33">
        <w:rPr>
          <w:noProof/>
        </w:rPr>
        <w:t>13</w:t>
      </w:r>
      <w:r w:rsidR="007E54F3">
        <w:rPr>
          <w:noProof/>
        </w:rPr>
        <w:fldChar w:fldCharType="end"/>
      </w:r>
      <w:r>
        <w:t xml:space="preserve">. </w:t>
      </w:r>
      <w:r w:rsidRPr="001D1475">
        <w:t xml:space="preserve">Identificación de </w:t>
      </w:r>
      <w:proofErr w:type="gramStart"/>
      <w:r w:rsidRPr="001D1475">
        <w:t>escenarios  de</w:t>
      </w:r>
      <w:proofErr w:type="gramEnd"/>
      <w:r w:rsidRPr="001D1475">
        <w:t xml:space="preserve"> riesgo.</w:t>
      </w:r>
      <w:bookmarkEnd w:id="86"/>
    </w:p>
    <w:p w14:paraId="6CE28BBD" w14:textId="249AACFE" w:rsidR="00387583" w:rsidRPr="002B631A" w:rsidRDefault="00387583" w:rsidP="00387583">
      <w:pPr>
        <w:pStyle w:val="Prrafodelista"/>
        <w:pBdr>
          <w:top w:val="nil"/>
          <w:left w:val="nil"/>
          <w:bottom w:val="nil"/>
          <w:right w:val="nil"/>
          <w:between w:val="nil"/>
        </w:pBdr>
        <w:spacing w:after="0"/>
        <w:ind w:left="0" w:firstLine="0"/>
        <w:jc w:val="center"/>
        <w:rPr>
          <w:rFonts w:eastAsia="Arial" w:cs="Arial"/>
          <w:b/>
          <w:bCs/>
          <w:color w:val="000000"/>
        </w:rPr>
      </w:pPr>
      <w:r>
        <w:rPr>
          <w:rFonts w:eastAsia="Arial" w:cs="Arial"/>
          <w:b/>
          <w:bCs/>
          <w:noProof/>
          <w:color w:val="000000"/>
        </w:rPr>
        <w:drawing>
          <wp:inline distT="0" distB="0" distL="0" distR="0" wp14:anchorId="79EAFA50" wp14:editId="3CD1E300">
            <wp:extent cx="5426015" cy="3776980"/>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38207" cy="3785467"/>
                    </a:xfrm>
                    <a:prstGeom prst="rect">
                      <a:avLst/>
                    </a:prstGeom>
                    <a:noFill/>
                    <a:ln>
                      <a:noFill/>
                    </a:ln>
                  </pic:spPr>
                </pic:pic>
              </a:graphicData>
            </a:graphic>
          </wp:inline>
        </w:drawing>
      </w:r>
    </w:p>
    <w:p w14:paraId="59AF6485" w14:textId="77777777" w:rsidR="00F574EF" w:rsidRPr="00B740FA" w:rsidRDefault="00F574EF" w:rsidP="00F574EF">
      <w:pPr>
        <w:pStyle w:val="Prrafodelista"/>
        <w:pBdr>
          <w:top w:val="nil"/>
          <w:left w:val="nil"/>
          <w:bottom w:val="nil"/>
          <w:right w:val="nil"/>
          <w:between w:val="nil"/>
        </w:pBdr>
        <w:spacing w:after="0" w:line="240" w:lineRule="auto"/>
        <w:ind w:left="426" w:firstLine="0"/>
        <w:jc w:val="center"/>
        <w:rPr>
          <w:rFonts w:eastAsia="Arial" w:cs="Arial"/>
          <w:i/>
          <w:iCs/>
          <w:color w:val="000000"/>
          <w:sz w:val="18"/>
          <w:szCs w:val="18"/>
        </w:rPr>
      </w:pPr>
      <w:r w:rsidRPr="00B740FA">
        <w:rPr>
          <w:rFonts w:eastAsia="Arial" w:cs="Arial"/>
          <w:i/>
          <w:iCs/>
          <w:sz w:val="18"/>
          <w:szCs w:val="18"/>
        </w:rPr>
        <w:t>Fuente: Plan Local de Gestión del Riesgo.</w:t>
      </w:r>
    </w:p>
    <w:p w14:paraId="537136BA" w14:textId="3BB2F5EA" w:rsidR="00387583" w:rsidRDefault="00BB5F3E" w:rsidP="00BB5F3E">
      <w:pPr>
        <w:pStyle w:val="Ttulo2"/>
        <w:ind w:firstLine="0"/>
      </w:pPr>
      <w:bookmarkStart w:id="87" w:name="_Toc57238648"/>
      <w:bookmarkStart w:id="88" w:name="_Hlk56641623"/>
      <w:r>
        <w:lastRenderedPageBreak/>
        <w:t xml:space="preserve">4.2 </w:t>
      </w:r>
      <w:r w:rsidR="00387583">
        <w:t>Consolidación y priorización de escenarios de riesgo.</w:t>
      </w:r>
      <w:bookmarkEnd w:id="87"/>
    </w:p>
    <w:bookmarkEnd w:id="88"/>
    <w:p w14:paraId="1359D030" w14:textId="77777777" w:rsidR="0087017A" w:rsidRDefault="0087017A" w:rsidP="00C61BA6">
      <w:pPr>
        <w:pBdr>
          <w:top w:val="nil"/>
          <w:left w:val="nil"/>
          <w:bottom w:val="nil"/>
          <w:right w:val="nil"/>
          <w:between w:val="nil"/>
        </w:pBdr>
        <w:spacing w:after="0"/>
        <w:ind w:left="765"/>
        <w:jc w:val="both"/>
        <w:rPr>
          <w:rFonts w:eastAsia="Arial" w:cs="Arial"/>
          <w:color w:val="000000"/>
        </w:rPr>
      </w:pPr>
    </w:p>
    <w:p w14:paraId="1A3FE82D" w14:textId="0CE3E795" w:rsidR="00516DE8" w:rsidRPr="00516DE8" w:rsidRDefault="00516DE8" w:rsidP="00516DE8">
      <w:pPr>
        <w:pStyle w:val="Descripcin"/>
        <w:keepNext/>
        <w:jc w:val="center"/>
        <w:rPr>
          <w:color w:val="auto"/>
        </w:rPr>
      </w:pPr>
      <w:bookmarkStart w:id="89" w:name="_Toc57227499"/>
      <w:r w:rsidRPr="00516DE8">
        <w:rPr>
          <w:color w:val="auto"/>
        </w:rPr>
        <w:t xml:space="preserve">Tabla </w:t>
      </w:r>
      <w:r w:rsidRPr="00516DE8">
        <w:rPr>
          <w:color w:val="auto"/>
        </w:rPr>
        <w:fldChar w:fldCharType="begin"/>
      </w:r>
      <w:r w:rsidRPr="00516DE8">
        <w:rPr>
          <w:color w:val="auto"/>
        </w:rPr>
        <w:instrText xml:space="preserve"> SEQ Tabla \* ARABIC </w:instrText>
      </w:r>
      <w:r w:rsidRPr="00516DE8">
        <w:rPr>
          <w:color w:val="auto"/>
        </w:rPr>
        <w:fldChar w:fldCharType="separate"/>
      </w:r>
      <w:r w:rsidR="00C37D33">
        <w:rPr>
          <w:noProof/>
          <w:color w:val="auto"/>
        </w:rPr>
        <w:t>14</w:t>
      </w:r>
      <w:r w:rsidRPr="00516DE8">
        <w:rPr>
          <w:color w:val="auto"/>
        </w:rPr>
        <w:fldChar w:fldCharType="end"/>
      </w:r>
      <w:r w:rsidRPr="00516DE8">
        <w:rPr>
          <w:color w:val="auto"/>
        </w:rPr>
        <w:t xml:space="preserve">. Consolidación y priorización de escenarios de </w:t>
      </w:r>
      <w:proofErr w:type="gramStart"/>
      <w:r w:rsidRPr="00516DE8">
        <w:rPr>
          <w:color w:val="auto"/>
        </w:rPr>
        <w:t>riesgo..</w:t>
      </w:r>
      <w:bookmarkEnd w:id="89"/>
      <w:proofErr w:type="gramEnd"/>
    </w:p>
    <w:p w14:paraId="4135728D" w14:textId="77777777" w:rsidR="00F574EF" w:rsidRDefault="00F574EF" w:rsidP="00F574EF">
      <w:pPr>
        <w:pBdr>
          <w:top w:val="nil"/>
          <w:left w:val="nil"/>
          <w:bottom w:val="nil"/>
          <w:right w:val="nil"/>
          <w:between w:val="nil"/>
        </w:pBdr>
        <w:spacing w:after="0"/>
        <w:jc w:val="both"/>
        <w:rPr>
          <w:rFonts w:eastAsia="Arial" w:cs="Arial"/>
        </w:rPr>
      </w:pPr>
      <w:r>
        <w:rPr>
          <w:rFonts w:eastAsia="Arial" w:cs="Arial"/>
          <w:noProof/>
        </w:rPr>
        <w:drawing>
          <wp:inline distT="0" distB="0" distL="0" distR="0" wp14:anchorId="54C4511E" wp14:editId="11E77E92">
            <wp:extent cx="5969635" cy="3804285"/>
            <wp:effectExtent l="0" t="0" r="0" b="571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69635" cy="3804285"/>
                    </a:xfrm>
                    <a:prstGeom prst="rect">
                      <a:avLst/>
                    </a:prstGeom>
                    <a:noFill/>
                    <a:ln>
                      <a:noFill/>
                    </a:ln>
                  </pic:spPr>
                </pic:pic>
              </a:graphicData>
            </a:graphic>
          </wp:inline>
        </w:drawing>
      </w:r>
    </w:p>
    <w:p w14:paraId="58994EDE" w14:textId="77777777" w:rsidR="00F574EF" w:rsidRPr="00516DE8" w:rsidRDefault="00F574EF" w:rsidP="00F574EF">
      <w:pPr>
        <w:pStyle w:val="Prrafodelista"/>
        <w:pBdr>
          <w:top w:val="nil"/>
          <w:left w:val="nil"/>
          <w:bottom w:val="nil"/>
          <w:right w:val="nil"/>
          <w:between w:val="nil"/>
        </w:pBdr>
        <w:spacing w:after="0" w:line="240" w:lineRule="auto"/>
        <w:ind w:left="426" w:firstLine="0"/>
        <w:jc w:val="center"/>
        <w:rPr>
          <w:rFonts w:eastAsia="Arial" w:cs="Arial"/>
          <w:i/>
          <w:iCs/>
          <w:color w:val="000000"/>
          <w:sz w:val="18"/>
          <w:szCs w:val="18"/>
        </w:rPr>
      </w:pPr>
      <w:r w:rsidRPr="00516DE8">
        <w:rPr>
          <w:rFonts w:eastAsia="Arial" w:cs="Arial"/>
          <w:i/>
          <w:iCs/>
          <w:sz w:val="18"/>
          <w:szCs w:val="18"/>
        </w:rPr>
        <w:t>Fuente: Plan Local de Gestión del Riesgo.</w:t>
      </w:r>
    </w:p>
    <w:p w14:paraId="71C5011E" w14:textId="77777777" w:rsidR="00A26A92" w:rsidRDefault="00A26A92" w:rsidP="00A26A92">
      <w:pPr>
        <w:pStyle w:val="Ttulo1"/>
        <w:spacing w:before="0" w:after="0" w:line="240" w:lineRule="auto"/>
        <w:ind w:firstLine="0"/>
      </w:pPr>
    </w:p>
    <w:p w14:paraId="78D5CC77" w14:textId="3AB27D7E" w:rsidR="00F503F1" w:rsidRDefault="00F503F1" w:rsidP="00A26A92">
      <w:pPr>
        <w:pStyle w:val="Ttulo1"/>
        <w:spacing w:before="0" w:after="0" w:line="240" w:lineRule="auto"/>
        <w:ind w:firstLine="0"/>
      </w:pPr>
      <w:bookmarkStart w:id="90" w:name="_Toc57238649"/>
      <w:r w:rsidRPr="00F503F1">
        <w:t>CAPÍTULO 5. PARTICIPACIÓN Y EDUCACIÓN AMBIENTAL</w:t>
      </w:r>
      <w:bookmarkEnd w:id="90"/>
    </w:p>
    <w:p w14:paraId="6C852403" w14:textId="77777777" w:rsidR="00A26A92" w:rsidRPr="00A26A92" w:rsidRDefault="00A26A92" w:rsidP="00A26A92">
      <w:pPr>
        <w:spacing w:after="0"/>
      </w:pPr>
    </w:p>
    <w:p w14:paraId="7CB2BBC0" w14:textId="1E9EAF82" w:rsidR="00BB5F3E" w:rsidRDefault="00F503F1" w:rsidP="00A26A92">
      <w:pPr>
        <w:pStyle w:val="Ttulo2"/>
        <w:spacing w:line="240" w:lineRule="auto"/>
        <w:ind w:firstLine="0"/>
      </w:pPr>
      <w:bookmarkStart w:id="91" w:name="_Toc57238650"/>
      <w:r w:rsidRPr="00DD4569">
        <w:t>5.1 Organizaciones locales sociedad civil y comunitarias.</w:t>
      </w:r>
      <w:bookmarkEnd w:id="91"/>
    </w:p>
    <w:p w14:paraId="48BFD914" w14:textId="77777777" w:rsidR="00A26A92" w:rsidRPr="00A26A92" w:rsidRDefault="00A26A92" w:rsidP="00A26A92">
      <w:pPr>
        <w:spacing w:after="0" w:line="240" w:lineRule="auto"/>
      </w:pPr>
    </w:p>
    <w:p w14:paraId="3BB1B859" w14:textId="418DEC65" w:rsidR="007B00BC" w:rsidRPr="00BB5F3E" w:rsidRDefault="00DD4569" w:rsidP="00A26A92">
      <w:pPr>
        <w:pStyle w:val="Ttulo3"/>
        <w:spacing w:before="0" w:after="0" w:line="240" w:lineRule="auto"/>
        <w:ind w:firstLine="0"/>
        <w:rPr>
          <w:bCs/>
        </w:rPr>
      </w:pPr>
      <w:bookmarkStart w:id="92" w:name="_Toc57238651"/>
      <w:r w:rsidRPr="00DD4569">
        <w:t xml:space="preserve">5.1.1 </w:t>
      </w:r>
      <w:r w:rsidR="007B00BC" w:rsidRPr="00DD4569">
        <w:t>T</w:t>
      </w:r>
      <w:r>
        <w:t>i</w:t>
      </w:r>
      <w:r w:rsidR="007B00BC" w:rsidRPr="00DD4569">
        <w:t>pos de organizaciones en la localidad</w:t>
      </w:r>
      <w:r w:rsidR="003A170A">
        <w:t>.</w:t>
      </w:r>
      <w:bookmarkEnd w:id="92"/>
    </w:p>
    <w:p w14:paraId="4C038023" w14:textId="77777777" w:rsidR="0053462B" w:rsidRDefault="0053462B" w:rsidP="00F503F1">
      <w:pPr>
        <w:spacing w:after="0" w:line="240" w:lineRule="auto"/>
        <w:ind w:left="709" w:firstLine="0"/>
      </w:pPr>
    </w:p>
    <w:p w14:paraId="693D00CD" w14:textId="0E5E9661" w:rsidR="00ED45CD" w:rsidRDefault="006D4ACB" w:rsidP="003A170A">
      <w:pPr>
        <w:spacing w:after="0" w:line="240" w:lineRule="auto"/>
        <w:ind w:left="426"/>
      </w:pPr>
      <w:r>
        <w:t>E</w:t>
      </w:r>
      <w:r w:rsidR="00ED45CD">
        <w:t xml:space="preserve">l Diagnóstico Integral de la Participación </w:t>
      </w:r>
      <w:r>
        <w:t>C</w:t>
      </w:r>
      <w:r w:rsidR="00ED45CD">
        <w:t>omunitaria t</w:t>
      </w:r>
      <w:r w:rsidR="0053462B">
        <w:t>iene</w:t>
      </w:r>
      <w:r w:rsidR="00ED45CD">
        <w:t xml:space="preserve"> como base</w:t>
      </w:r>
      <w:r w:rsidR="0053462B">
        <w:t xml:space="preserve"> los aportes y las perspectivas de las Juntas de Acción Comunal, de las organizaciones sociales y comunitarias, de las instancias de participación, así como la contribución de las percepciones, conocimientos, y gestiones en torno a la participación ciudadana expresadas por las alcaldías locales y el abordaje propuesto por los sectores distritales para fortalecer y garantizar los derechos y deberes relacionados con la participación ciudadana.</w:t>
      </w:r>
    </w:p>
    <w:p w14:paraId="5DBBAD60" w14:textId="03F7272D" w:rsidR="00D82C8D" w:rsidRDefault="00D82C8D" w:rsidP="003A170A">
      <w:pPr>
        <w:spacing w:after="0" w:line="240" w:lineRule="auto"/>
        <w:ind w:left="426"/>
      </w:pPr>
    </w:p>
    <w:p w14:paraId="3BA6A105" w14:textId="189CDE80" w:rsidR="00D82C8D" w:rsidRDefault="00D82C8D" w:rsidP="003A170A">
      <w:pPr>
        <w:spacing w:after="0" w:line="240" w:lineRule="auto"/>
        <w:ind w:left="426"/>
      </w:pPr>
      <w:r>
        <w:t>La información suministrada ofrece un panorama compuesto por datos que describen la estructura de las organizaciones y su composición, se reconocen sus espacios de encuentro, sus campos de incidencia, así como el grado de evolución en cuanto al campo estratégico, comunicativo y táctico; información indispensable para construir redes de apoyo y gestión local. Las siguientes son los resultados y estadísticas correspondientes a la caracterización del territorio de Los Mártires.</w:t>
      </w:r>
    </w:p>
    <w:p w14:paraId="5510A473" w14:textId="7A81A258" w:rsidR="00D82C8D" w:rsidRDefault="00D82C8D" w:rsidP="006D4ACB">
      <w:pPr>
        <w:spacing w:after="0" w:line="240" w:lineRule="auto"/>
      </w:pPr>
    </w:p>
    <w:p w14:paraId="5008DF1D" w14:textId="26B7B83B" w:rsidR="006D4ACB" w:rsidRDefault="006D4ACB" w:rsidP="007B00BC">
      <w:pPr>
        <w:spacing w:after="0" w:line="240" w:lineRule="auto"/>
      </w:pPr>
    </w:p>
    <w:p w14:paraId="64D57B94" w14:textId="77777777" w:rsidR="004D481B" w:rsidRDefault="007B00BC" w:rsidP="004D481B">
      <w:pPr>
        <w:keepNext/>
        <w:spacing w:after="0" w:line="240" w:lineRule="auto"/>
        <w:ind w:left="709" w:firstLine="0"/>
        <w:jc w:val="center"/>
      </w:pPr>
      <w:r>
        <w:rPr>
          <w:noProof/>
        </w:rPr>
        <w:drawing>
          <wp:inline distT="0" distB="0" distL="0" distR="0" wp14:anchorId="5D96371E" wp14:editId="61F060D8">
            <wp:extent cx="5935345" cy="2261235"/>
            <wp:effectExtent l="0" t="0" r="825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935345" cy="2261235"/>
                    </a:xfrm>
                    <a:prstGeom prst="rect">
                      <a:avLst/>
                    </a:prstGeom>
                    <a:noFill/>
                    <a:ln>
                      <a:noFill/>
                    </a:ln>
                  </pic:spPr>
                </pic:pic>
              </a:graphicData>
            </a:graphic>
          </wp:inline>
        </w:drawing>
      </w:r>
    </w:p>
    <w:p w14:paraId="4FEEEE44" w14:textId="0C135A98" w:rsidR="00EB3093" w:rsidRPr="004D481B" w:rsidRDefault="004D481B" w:rsidP="004D481B">
      <w:pPr>
        <w:pStyle w:val="Descripcin"/>
        <w:spacing w:after="0"/>
        <w:jc w:val="center"/>
        <w:rPr>
          <w:color w:val="auto"/>
        </w:rPr>
      </w:pPr>
      <w:bookmarkStart w:id="93" w:name="_Toc57223731"/>
      <w:r w:rsidRPr="004D481B">
        <w:rPr>
          <w:color w:val="auto"/>
        </w:rPr>
        <w:t xml:space="preserve">Ilustración </w:t>
      </w:r>
      <w:r w:rsidRPr="004D481B">
        <w:rPr>
          <w:color w:val="auto"/>
        </w:rPr>
        <w:fldChar w:fldCharType="begin"/>
      </w:r>
      <w:r w:rsidRPr="004D481B">
        <w:rPr>
          <w:color w:val="auto"/>
        </w:rPr>
        <w:instrText xml:space="preserve"> SEQ Ilustración \* ARABIC </w:instrText>
      </w:r>
      <w:r w:rsidRPr="004D481B">
        <w:rPr>
          <w:color w:val="auto"/>
        </w:rPr>
        <w:fldChar w:fldCharType="separate"/>
      </w:r>
      <w:r w:rsidR="00DC2EB1">
        <w:rPr>
          <w:noProof/>
          <w:color w:val="auto"/>
        </w:rPr>
        <w:t>13</w:t>
      </w:r>
      <w:r w:rsidRPr="004D481B">
        <w:rPr>
          <w:color w:val="auto"/>
        </w:rPr>
        <w:fldChar w:fldCharType="end"/>
      </w:r>
      <w:r w:rsidRPr="004D481B">
        <w:rPr>
          <w:color w:val="auto"/>
        </w:rPr>
        <w:t>.Tipos de organizaciones.</w:t>
      </w:r>
      <w:bookmarkEnd w:id="93"/>
    </w:p>
    <w:p w14:paraId="364F9870" w14:textId="17CE881D" w:rsidR="002D51C5" w:rsidRPr="00EB3093" w:rsidRDefault="002D51C5" w:rsidP="00EB3093">
      <w:pPr>
        <w:pStyle w:val="Prrafodelista"/>
        <w:pBdr>
          <w:top w:val="nil"/>
          <w:left w:val="nil"/>
          <w:bottom w:val="nil"/>
          <w:right w:val="nil"/>
          <w:between w:val="nil"/>
        </w:pBdr>
        <w:spacing w:after="0" w:line="240" w:lineRule="auto"/>
        <w:ind w:left="426" w:firstLine="0"/>
        <w:jc w:val="center"/>
        <w:rPr>
          <w:rFonts w:eastAsia="Arial" w:cs="Arial"/>
          <w:i/>
          <w:iCs/>
          <w:sz w:val="18"/>
          <w:szCs w:val="18"/>
        </w:rPr>
      </w:pPr>
      <w:r w:rsidRPr="00EB3093">
        <w:rPr>
          <w:rFonts w:eastAsia="Arial" w:cs="Arial"/>
          <w:i/>
          <w:iCs/>
          <w:sz w:val="18"/>
          <w:szCs w:val="18"/>
        </w:rPr>
        <w:t>Fuente: Diagnóstico Integral de Participación Ciudadana Los Mártires.</w:t>
      </w:r>
    </w:p>
    <w:p w14:paraId="0A3A1F19" w14:textId="2697BFB4" w:rsidR="00DD4569" w:rsidRPr="00EB3093" w:rsidRDefault="00DD4569" w:rsidP="00F503F1">
      <w:pPr>
        <w:spacing w:after="0" w:line="240" w:lineRule="auto"/>
        <w:ind w:left="709" w:firstLine="0"/>
        <w:rPr>
          <w:i/>
          <w:iCs/>
        </w:rPr>
      </w:pPr>
    </w:p>
    <w:p w14:paraId="796D6A15" w14:textId="178952CC" w:rsidR="007B00BC" w:rsidRDefault="007B00BC" w:rsidP="003A170A">
      <w:pPr>
        <w:spacing w:after="0" w:line="240" w:lineRule="auto"/>
        <w:ind w:left="1134"/>
        <w:jc w:val="both"/>
      </w:pPr>
      <w:r>
        <w:t xml:space="preserve">Es importante resaltar que la participación ciudadana en la localidad de Los Mártires ha venido transformando su base social a través de un proceso de apropiación de las organizaciones sociales juveniles, de cara al relevo generacional y de pluralidad de discursos y nuevas expresiones ciudadanas de participación. Esta situación genera una ventana de oportunidades para la transformación de las dinámicas propias de las comunidades y de los territorios, teniendo gran apoyo por parte de las organizaciones juveniles. No obstante, se resalta la importancia de los grupos de mujeres y grupos étnicos, los cuales se han posicionado como grupo de gran incidencia en la localidad, ya que han aportado en la </w:t>
      </w:r>
      <w:r w:rsidR="000602C9">
        <w:t>construcción</w:t>
      </w:r>
      <w:r>
        <w:t xml:space="preserve"> de dinámicas de interacción con otras organizaciones sociales y en especial con las entidades distritales y la Alcaldía Local, como beneficiarios de los programas, planes y proyectos de inversión propuestos por las administraciones locales y distritales.</w:t>
      </w:r>
    </w:p>
    <w:p w14:paraId="1F6F151C" w14:textId="4EBDCBC1" w:rsidR="000602C9" w:rsidRPr="00DD4569" w:rsidRDefault="00DD4569" w:rsidP="00A26A92">
      <w:pPr>
        <w:pStyle w:val="Ttulo3"/>
        <w:spacing w:after="0"/>
        <w:ind w:firstLine="0"/>
      </w:pPr>
      <w:bookmarkStart w:id="94" w:name="_Toc57238652"/>
      <w:r w:rsidRPr="00DD4569">
        <w:t xml:space="preserve">5.1.2 </w:t>
      </w:r>
      <w:r w:rsidR="000602C9" w:rsidRPr="00DD4569">
        <w:t>Líneas temáticas</w:t>
      </w:r>
      <w:r w:rsidR="00A26A92">
        <w:t>.</w:t>
      </w:r>
      <w:bookmarkEnd w:id="94"/>
    </w:p>
    <w:p w14:paraId="23D7F2D5" w14:textId="47E65509" w:rsidR="007B00BC" w:rsidRDefault="007B00BC" w:rsidP="00F503F1">
      <w:pPr>
        <w:spacing w:after="0" w:line="240" w:lineRule="auto"/>
        <w:ind w:left="709" w:firstLine="0"/>
      </w:pPr>
    </w:p>
    <w:p w14:paraId="48C4ED56" w14:textId="77777777" w:rsidR="00DC2EB1" w:rsidRDefault="000602C9" w:rsidP="00DC2EB1">
      <w:pPr>
        <w:keepNext/>
        <w:spacing w:after="0" w:line="240" w:lineRule="auto"/>
        <w:ind w:left="709" w:firstLine="0"/>
      </w:pPr>
      <w:r>
        <w:rPr>
          <w:noProof/>
        </w:rPr>
        <w:drawing>
          <wp:inline distT="0" distB="0" distL="0" distR="0" wp14:anchorId="187636A3" wp14:editId="1F0C0FF2">
            <wp:extent cx="5669107" cy="2621336"/>
            <wp:effectExtent l="0" t="0" r="8255" b="762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72210" cy="2622771"/>
                    </a:xfrm>
                    <a:prstGeom prst="rect">
                      <a:avLst/>
                    </a:prstGeom>
                    <a:noFill/>
                    <a:ln>
                      <a:noFill/>
                    </a:ln>
                  </pic:spPr>
                </pic:pic>
              </a:graphicData>
            </a:graphic>
          </wp:inline>
        </w:drawing>
      </w:r>
    </w:p>
    <w:p w14:paraId="23A67BC6" w14:textId="075F7FA7" w:rsidR="00EB3093" w:rsidRPr="00DC2EB1" w:rsidRDefault="00DC2EB1" w:rsidP="00DC2EB1">
      <w:pPr>
        <w:pStyle w:val="Descripcin"/>
        <w:spacing w:after="0"/>
        <w:jc w:val="center"/>
        <w:rPr>
          <w:color w:val="auto"/>
        </w:rPr>
      </w:pPr>
      <w:bookmarkStart w:id="95" w:name="_Toc57223732"/>
      <w:r w:rsidRPr="00DC2EB1">
        <w:rPr>
          <w:color w:val="auto"/>
        </w:rPr>
        <w:t xml:space="preserve">Ilustración </w:t>
      </w:r>
      <w:r w:rsidRPr="00DC2EB1">
        <w:rPr>
          <w:color w:val="auto"/>
        </w:rPr>
        <w:fldChar w:fldCharType="begin"/>
      </w:r>
      <w:r w:rsidRPr="00DC2EB1">
        <w:rPr>
          <w:color w:val="auto"/>
        </w:rPr>
        <w:instrText xml:space="preserve"> SEQ Ilustración \* ARABIC </w:instrText>
      </w:r>
      <w:r w:rsidRPr="00DC2EB1">
        <w:rPr>
          <w:color w:val="auto"/>
        </w:rPr>
        <w:fldChar w:fldCharType="separate"/>
      </w:r>
      <w:r>
        <w:rPr>
          <w:noProof/>
          <w:color w:val="auto"/>
        </w:rPr>
        <w:t>14</w:t>
      </w:r>
      <w:r w:rsidRPr="00DC2EB1">
        <w:rPr>
          <w:color w:val="auto"/>
        </w:rPr>
        <w:fldChar w:fldCharType="end"/>
      </w:r>
      <w:r w:rsidRPr="00DC2EB1">
        <w:rPr>
          <w:color w:val="auto"/>
        </w:rPr>
        <w:t xml:space="preserve">.Líneas </w:t>
      </w:r>
      <w:proofErr w:type="gramStart"/>
      <w:r w:rsidRPr="00DC2EB1">
        <w:rPr>
          <w:color w:val="auto"/>
        </w:rPr>
        <w:t>temáticas..</w:t>
      </w:r>
      <w:bookmarkEnd w:id="95"/>
      <w:proofErr w:type="gramEnd"/>
    </w:p>
    <w:p w14:paraId="6B478E66" w14:textId="77777777" w:rsidR="004F716E" w:rsidRPr="00EB3093" w:rsidRDefault="004F716E" w:rsidP="00EB3093">
      <w:pPr>
        <w:pStyle w:val="Prrafodelista"/>
        <w:pBdr>
          <w:top w:val="nil"/>
          <w:left w:val="nil"/>
          <w:bottom w:val="nil"/>
          <w:right w:val="nil"/>
          <w:between w:val="nil"/>
        </w:pBdr>
        <w:spacing w:after="0" w:line="240" w:lineRule="auto"/>
        <w:ind w:left="426" w:firstLine="0"/>
        <w:jc w:val="center"/>
        <w:rPr>
          <w:rFonts w:eastAsia="Arial" w:cs="Arial"/>
          <w:i/>
          <w:iCs/>
          <w:sz w:val="18"/>
          <w:szCs w:val="18"/>
        </w:rPr>
      </w:pPr>
      <w:r w:rsidRPr="00EB3093">
        <w:rPr>
          <w:rFonts w:eastAsia="Arial" w:cs="Arial"/>
          <w:i/>
          <w:iCs/>
          <w:sz w:val="18"/>
          <w:szCs w:val="18"/>
        </w:rPr>
        <w:t>Fuente: Diagnóstico Integral de Participación Ciudadana Los Mártires.</w:t>
      </w:r>
    </w:p>
    <w:p w14:paraId="6948BEA0" w14:textId="26C5DDA3" w:rsidR="00520C9D" w:rsidRDefault="00520C9D" w:rsidP="00F503F1">
      <w:pPr>
        <w:spacing w:after="0" w:line="240" w:lineRule="auto"/>
        <w:ind w:left="709" w:firstLine="0"/>
      </w:pPr>
    </w:p>
    <w:p w14:paraId="0FD48412" w14:textId="481327E2" w:rsidR="00520C9D" w:rsidRDefault="00520C9D" w:rsidP="00DD4569">
      <w:pPr>
        <w:spacing w:after="0" w:line="240" w:lineRule="auto"/>
        <w:ind w:left="709"/>
        <w:jc w:val="both"/>
      </w:pPr>
      <w:r>
        <w:t>Para la localidad de Los Mártires, se evidencia multiplicidad en las líneas temáticas que las organizaciones sociales han venido trabajando, lo que puede facilitar la priorización por parte de los sectores de la administración pública, con el objetivo de fomentar y fortalecer el trabajo organizativo desde una mirada técnica y especialmente, con incentivos al trabajo intersectorial. Si bien en la localidad lideran los temas de inclusión social, artísticos y culturales, es importante resaltar que cada vez más se han posicionado temas que tradicionalmente no habían tenido representación y que se han venido fortaleciendo a través de los mecanismos dispuestos por el IDPAC en el territorio. Un ejemplo de ello ha sido el tema de emprendimiento y proyectos productivos, por medio del cual las organizaciones sociales están adoptando modelos de trabajo que fomenten el empleo a través de las ¨Pimes y MyPimes¨ en el marco de una sustentabilidad en los proyectos de carácter social, estas estrategias han fomentado que las diversas organizaciones de la localidad generen un nodo de productividad que mejore la competencia en los mercados locales.</w:t>
      </w:r>
    </w:p>
    <w:p w14:paraId="21EDD5E8" w14:textId="3C33DFBA" w:rsidR="004D436C" w:rsidRDefault="004D436C" w:rsidP="00F503F1">
      <w:pPr>
        <w:spacing w:after="0" w:line="240" w:lineRule="auto"/>
        <w:ind w:left="709" w:firstLine="0"/>
      </w:pPr>
    </w:p>
    <w:p w14:paraId="2D1AB01F" w14:textId="64082473" w:rsidR="004D436C" w:rsidRPr="00DD4569" w:rsidRDefault="00DD4569" w:rsidP="00F40A9E">
      <w:pPr>
        <w:pStyle w:val="Ttulo3"/>
        <w:spacing w:before="0" w:after="0"/>
      </w:pPr>
      <w:bookmarkStart w:id="96" w:name="_Toc57238653"/>
      <w:r w:rsidRPr="00DD4569">
        <w:t xml:space="preserve">5.1.3 </w:t>
      </w:r>
      <w:r w:rsidR="004D436C" w:rsidRPr="00DD4569">
        <w:t>Procesos de participación.</w:t>
      </w:r>
      <w:bookmarkEnd w:id="96"/>
    </w:p>
    <w:p w14:paraId="6CABEA74" w14:textId="77777777" w:rsidR="004D436C" w:rsidRDefault="004D436C" w:rsidP="00F503F1">
      <w:pPr>
        <w:spacing w:after="0" w:line="240" w:lineRule="auto"/>
        <w:ind w:left="709" w:firstLine="0"/>
      </w:pPr>
    </w:p>
    <w:p w14:paraId="234760F7" w14:textId="77777777" w:rsidR="00DC2EB1" w:rsidRDefault="004D436C" w:rsidP="00DC2EB1">
      <w:pPr>
        <w:keepNext/>
        <w:spacing w:after="0" w:line="240" w:lineRule="auto"/>
        <w:ind w:left="709" w:firstLine="0"/>
      </w:pPr>
      <w:r>
        <w:t xml:space="preserve"> </w:t>
      </w:r>
      <w:r>
        <w:rPr>
          <w:noProof/>
        </w:rPr>
        <w:drawing>
          <wp:inline distT="0" distB="0" distL="0" distR="0" wp14:anchorId="3A6EB074" wp14:editId="44402FE1">
            <wp:extent cx="5369502" cy="2643447"/>
            <wp:effectExtent l="0" t="0" r="3175" b="508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73858" cy="2645591"/>
                    </a:xfrm>
                    <a:prstGeom prst="rect">
                      <a:avLst/>
                    </a:prstGeom>
                    <a:noFill/>
                    <a:ln>
                      <a:noFill/>
                    </a:ln>
                  </pic:spPr>
                </pic:pic>
              </a:graphicData>
            </a:graphic>
          </wp:inline>
        </w:drawing>
      </w:r>
    </w:p>
    <w:p w14:paraId="4CA0567B" w14:textId="12E1791F" w:rsidR="00EB3093" w:rsidRPr="00DC2EB1" w:rsidRDefault="00DC2EB1" w:rsidP="00DC2EB1">
      <w:pPr>
        <w:pStyle w:val="Descripcin"/>
        <w:spacing w:after="0"/>
        <w:jc w:val="center"/>
        <w:rPr>
          <w:color w:val="auto"/>
        </w:rPr>
      </w:pPr>
      <w:bookmarkStart w:id="97" w:name="_Toc57223733"/>
      <w:r w:rsidRPr="00DC2EB1">
        <w:rPr>
          <w:color w:val="auto"/>
        </w:rPr>
        <w:t xml:space="preserve">Ilustración </w:t>
      </w:r>
      <w:r w:rsidRPr="00DC2EB1">
        <w:rPr>
          <w:color w:val="auto"/>
        </w:rPr>
        <w:fldChar w:fldCharType="begin"/>
      </w:r>
      <w:r w:rsidRPr="00DC2EB1">
        <w:rPr>
          <w:color w:val="auto"/>
        </w:rPr>
        <w:instrText xml:space="preserve"> SEQ Ilustración \* ARABIC </w:instrText>
      </w:r>
      <w:r w:rsidRPr="00DC2EB1">
        <w:rPr>
          <w:color w:val="auto"/>
        </w:rPr>
        <w:fldChar w:fldCharType="separate"/>
      </w:r>
      <w:r w:rsidRPr="00DC2EB1">
        <w:rPr>
          <w:noProof/>
          <w:color w:val="auto"/>
        </w:rPr>
        <w:t>15</w:t>
      </w:r>
      <w:r w:rsidRPr="00DC2EB1">
        <w:rPr>
          <w:color w:val="auto"/>
        </w:rPr>
        <w:fldChar w:fldCharType="end"/>
      </w:r>
      <w:r w:rsidRPr="00DC2EB1">
        <w:rPr>
          <w:color w:val="auto"/>
        </w:rPr>
        <w:t>.Procesos de participación.</w:t>
      </w:r>
      <w:bookmarkEnd w:id="97"/>
    </w:p>
    <w:p w14:paraId="14BA4A2C" w14:textId="77777777" w:rsidR="004F716E" w:rsidRPr="00EB3093" w:rsidRDefault="004F716E" w:rsidP="00EB3093">
      <w:pPr>
        <w:pStyle w:val="Prrafodelista"/>
        <w:pBdr>
          <w:top w:val="nil"/>
          <w:left w:val="nil"/>
          <w:bottom w:val="nil"/>
          <w:right w:val="nil"/>
          <w:between w:val="nil"/>
        </w:pBdr>
        <w:spacing w:after="0" w:line="240" w:lineRule="auto"/>
        <w:ind w:left="426" w:firstLine="0"/>
        <w:jc w:val="center"/>
        <w:rPr>
          <w:rFonts w:eastAsia="Arial" w:cs="Arial"/>
          <w:i/>
          <w:iCs/>
          <w:sz w:val="18"/>
          <w:szCs w:val="18"/>
        </w:rPr>
      </w:pPr>
      <w:r w:rsidRPr="00EB3093">
        <w:rPr>
          <w:rFonts w:eastAsia="Arial" w:cs="Arial"/>
          <w:i/>
          <w:iCs/>
          <w:sz w:val="18"/>
          <w:szCs w:val="18"/>
        </w:rPr>
        <w:t>Fuente: Diagnóstico Integral de Participación Ciudadana Los Mártires.</w:t>
      </w:r>
    </w:p>
    <w:p w14:paraId="22064E7A" w14:textId="77777777" w:rsidR="007B00BC" w:rsidRDefault="007B00BC" w:rsidP="00F503F1">
      <w:pPr>
        <w:spacing w:after="0" w:line="240" w:lineRule="auto"/>
        <w:ind w:left="709" w:firstLine="0"/>
      </w:pPr>
    </w:p>
    <w:p w14:paraId="23BB5CCB" w14:textId="2C333411" w:rsidR="007B00BC" w:rsidRDefault="004D436C" w:rsidP="00DD4569">
      <w:pPr>
        <w:spacing w:after="0" w:line="240" w:lineRule="auto"/>
        <w:ind w:left="709"/>
        <w:jc w:val="both"/>
      </w:pPr>
      <w:r>
        <w:t>La planeación del territorio debe ser uno de los principales ejes de trabajo de las organizaciones sociales de Bogotá, ya que es a través de estos instrumentos que les permite posicionar en la agenda de trabajo, las problemáticas e iniciativas identificadas y que vienen liderando desde los territorios. En el caso de la localidad de Los Mártires el 22,9% de las organizaciones sociales no participa en ningún escenario de planeación participativa, situación que ha venido siendo superada año tras año, con una reducción significativa de las organizaciones que no advierten sus necesidades en estos espacios. Uno de los escenarios fundamentales para la localidad y las organizaciones, son los Encuentros Ciudadanos, que tienen lugar cada cuatro años con la entrada de las nuevas administraciones. Es importante resaltar que este proceso se constituye a través del nivel de representatividad que tienen los sectores sociales y las organizaciones, en cada uno de los territorios, para que sean tenidas en cuenta las recomendaciones en la formulación de los planes de desarrollo local.</w:t>
      </w:r>
    </w:p>
    <w:p w14:paraId="43613FC0" w14:textId="04D77ED9" w:rsidR="004D436C" w:rsidRDefault="004D436C" w:rsidP="00F503F1">
      <w:pPr>
        <w:spacing w:after="0" w:line="240" w:lineRule="auto"/>
        <w:ind w:left="709" w:firstLine="0"/>
      </w:pPr>
    </w:p>
    <w:p w14:paraId="374DE125" w14:textId="1DB046CD" w:rsidR="00CA269E" w:rsidRDefault="00272AC8" w:rsidP="00F40A9E">
      <w:pPr>
        <w:pStyle w:val="Ttulo2"/>
        <w:ind w:firstLine="0"/>
      </w:pPr>
      <w:bookmarkStart w:id="98" w:name="_Toc57238654"/>
      <w:proofErr w:type="gramStart"/>
      <w:r>
        <w:t>5.2</w:t>
      </w:r>
      <w:r w:rsidR="00F5441B">
        <w:t xml:space="preserve"> </w:t>
      </w:r>
      <w:r>
        <w:t xml:space="preserve"> </w:t>
      </w:r>
      <w:r w:rsidR="008570E3">
        <w:t>Agricultura</w:t>
      </w:r>
      <w:proofErr w:type="gramEnd"/>
      <w:r w:rsidR="008570E3">
        <w:t xml:space="preserve"> urbana.</w:t>
      </w:r>
      <w:bookmarkEnd w:id="98"/>
    </w:p>
    <w:p w14:paraId="5E25A829" w14:textId="463CED34" w:rsidR="008570E3" w:rsidRDefault="00BC0060" w:rsidP="005D004E">
      <w:pPr>
        <w:spacing w:after="0"/>
        <w:ind w:left="709"/>
      </w:pPr>
      <w:r w:rsidRPr="00BC0060">
        <w:t>La localidad de Mártires cuenta con los siguientes huerteros y huerteras, hasta septiembre de 2020:</w:t>
      </w:r>
    </w:p>
    <w:tbl>
      <w:tblPr>
        <w:tblW w:w="9351" w:type="dxa"/>
        <w:tblCellMar>
          <w:left w:w="70" w:type="dxa"/>
          <w:right w:w="70" w:type="dxa"/>
        </w:tblCellMar>
        <w:tblLook w:val="04A0" w:firstRow="1" w:lastRow="0" w:firstColumn="1" w:lastColumn="0" w:noHBand="0" w:noVBand="1"/>
      </w:tblPr>
      <w:tblGrid>
        <w:gridCol w:w="671"/>
        <w:gridCol w:w="2443"/>
        <w:gridCol w:w="2179"/>
        <w:gridCol w:w="1207"/>
        <w:gridCol w:w="1433"/>
        <w:gridCol w:w="1418"/>
      </w:tblGrid>
      <w:tr w:rsidR="00397433" w:rsidRPr="00397433" w14:paraId="36460785" w14:textId="77777777" w:rsidTr="00397433">
        <w:trPr>
          <w:trHeight w:val="300"/>
        </w:trPr>
        <w:tc>
          <w:tcPr>
            <w:tcW w:w="671"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3DE464B"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N°</w:t>
            </w:r>
          </w:p>
        </w:tc>
        <w:tc>
          <w:tcPr>
            <w:tcW w:w="2443"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513B6863"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Nombre del agricultor(a) o solicitante</w:t>
            </w:r>
          </w:p>
        </w:tc>
        <w:tc>
          <w:tcPr>
            <w:tcW w:w="2179"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F208031" w14:textId="77777777" w:rsidR="00BC0060" w:rsidRPr="00397433" w:rsidRDefault="00BC0060" w:rsidP="00691FD0">
            <w:pPr>
              <w:spacing w:after="0" w:line="240" w:lineRule="auto"/>
              <w:ind w:firstLine="0"/>
              <w:rPr>
                <w:rFonts w:eastAsia="Times New Roman" w:cs="Arial"/>
                <w:color w:val="000000"/>
                <w:sz w:val="18"/>
                <w:szCs w:val="18"/>
                <w:lang w:eastAsia="es-CO"/>
              </w:rPr>
            </w:pPr>
            <w:proofErr w:type="gramStart"/>
            <w:r w:rsidRPr="00397433">
              <w:rPr>
                <w:rFonts w:eastAsia="Times New Roman" w:cs="Arial"/>
                <w:color w:val="000000"/>
                <w:sz w:val="18"/>
                <w:szCs w:val="18"/>
                <w:lang w:eastAsia="es-CO"/>
              </w:rPr>
              <w:t>Nombre  de</w:t>
            </w:r>
            <w:proofErr w:type="gramEnd"/>
            <w:r w:rsidRPr="00397433">
              <w:rPr>
                <w:rFonts w:eastAsia="Times New Roman" w:cs="Arial"/>
                <w:color w:val="000000"/>
                <w:sz w:val="18"/>
                <w:szCs w:val="18"/>
                <w:lang w:eastAsia="es-CO"/>
              </w:rPr>
              <w:t xml:space="preserve"> la Huerta</w:t>
            </w:r>
          </w:p>
        </w:tc>
        <w:tc>
          <w:tcPr>
            <w:tcW w:w="4058" w:type="dxa"/>
            <w:gridSpan w:val="3"/>
            <w:tcBorders>
              <w:top w:val="single" w:sz="4" w:space="0" w:color="auto"/>
              <w:left w:val="nil"/>
              <w:bottom w:val="single" w:sz="4" w:space="0" w:color="auto"/>
              <w:right w:val="single" w:sz="4" w:space="0" w:color="auto"/>
            </w:tcBorders>
            <w:shd w:val="clear" w:color="auto" w:fill="D9D9D9"/>
            <w:noWrap/>
            <w:vAlign w:val="bottom"/>
            <w:hideMark/>
          </w:tcPr>
          <w:p w14:paraId="4CE2DD06" w14:textId="37F2EA2A" w:rsidR="00BC0060" w:rsidRPr="00397433" w:rsidRDefault="00691FD0" w:rsidP="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xml:space="preserve">                        </w:t>
            </w:r>
            <w:r w:rsidR="00BC0060" w:rsidRPr="00397433">
              <w:rPr>
                <w:rFonts w:eastAsia="Times New Roman" w:cs="Arial"/>
                <w:color w:val="000000"/>
                <w:sz w:val="18"/>
                <w:szCs w:val="18"/>
                <w:lang w:eastAsia="es-CO"/>
              </w:rPr>
              <w:t>Tipo</w:t>
            </w:r>
          </w:p>
        </w:tc>
      </w:tr>
      <w:tr w:rsidR="00397433" w:rsidRPr="00397433" w14:paraId="5CBDF35A" w14:textId="77777777" w:rsidTr="00397433">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9B5913" w14:textId="77777777" w:rsidR="00BC0060" w:rsidRPr="00397433" w:rsidRDefault="00BC0060">
            <w:pPr>
              <w:spacing w:after="0"/>
              <w:rPr>
                <w:rFonts w:eastAsia="Times New Roman" w:cs="Arial"/>
                <w:color w:val="000000"/>
                <w:sz w:val="18"/>
                <w:szCs w:val="18"/>
                <w:lang w:val="es-CO" w:eastAsia="es-CO"/>
              </w:rPr>
            </w:pPr>
          </w:p>
        </w:tc>
        <w:tc>
          <w:tcPr>
            <w:tcW w:w="2443" w:type="dxa"/>
            <w:vMerge/>
            <w:tcBorders>
              <w:top w:val="single" w:sz="4" w:space="0" w:color="auto"/>
              <w:left w:val="single" w:sz="4" w:space="0" w:color="auto"/>
              <w:bottom w:val="single" w:sz="4" w:space="0" w:color="auto"/>
              <w:right w:val="single" w:sz="4" w:space="0" w:color="auto"/>
            </w:tcBorders>
            <w:vAlign w:val="center"/>
            <w:hideMark/>
          </w:tcPr>
          <w:p w14:paraId="5DB50CFC" w14:textId="77777777" w:rsidR="00BC0060" w:rsidRPr="00397433" w:rsidRDefault="00BC0060">
            <w:pPr>
              <w:spacing w:after="0"/>
              <w:rPr>
                <w:rFonts w:eastAsia="Times New Roman" w:cs="Arial"/>
                <w:sz w:val="18"/>
                <w:szCs w:val="18"/>
                <w:lang w:val="es-CO" w:eastAsia="es-CO"/>
              </w:rPr>
            </w:pPr>
          </w:p>
        </w:tc>
        <w:tc>
          <w:tcPr>
            <w:tcW w:w="2179" w:type="dxa"/>
            <w:vMerge/>
            <w:tcBorders>
              <w:top w:val="single" w:sz="4" w:space="0" w:color="auto"/>
              <w:left w:val="single" w:sz="4" w:space="0" w:color="auto"/>
              <w:bottom w:val="single" w:sz="4" w:space="0" w:color="auto"/>
              <w:right w:val="single" w:sz="4" w:space="0" w:color="auto"/>
            </w:tcBorders>
            <w:vAlign w:val="center"/>
            <w:hideMark/>
          </w:tcPr>
          <w:p w14:paraId="05C00CA5" w14:textId="77777777" w:rsidR="00BC0060" w:rsidRPr="00397433" w:rsidRDefault="00BC0060">
            <w:pPr>
              <w:spacing w:after="0"/>
              <w:rPr>
                <w:rFonts w:eastAsia="Times New Roman" w:cs="Arial"/>
                <w:color w:val="000000"/>
                <w:sz w:val="18"/>
                <w:szCs w:val="18"/>
                <w:lang w:val="es-CO" w:eastAsia="es-CO"/>
              </w:rPr>
            </w:pPr>
          </w:p>
        </w:tc>
        <w:tc>
          <w:tcPr>
            <w:tcW w:w="1207" w:type="dxa"/>
            <w:tcBorders>
              <w:top w:val="nil"/>
              <w:left w:val="nil"/>
              <w:bottom w:val="single" w:sz="4" w:space="0" w:color="auto"/>
              <w:right w:val="single" w:sz="4" w:space="0" w:color="auto"/>
            </w:tcBorders>
            <w:shd w:val="clear" w:color="auto" w:fill="D9D9D9"/>
            <w:noWrap/>
            <w:vAlign w:val="center"/>
            <w:hideMark/>
          </w:tcPr>
          <w:p w14:paraId="33B1DB67"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Familiar</w:t>
            </w:r>
          </w:p>
        </w:tc>
        <w:tc>
          <w:tcPr>
            <w:tcW w:w="1433" w:type="dxa"/>
            <w:tcBorders>
              <w:top w:val="nil"/>
              <w:left w:val="nil"/>
              <w:bottom w:val="single" w:sz="4" w:space="0" w:color="auto"/>
              <w:right w:val="single" w:sz="4" w:space="0" w:color="auto"/>
            </w:tcBorders>
            <w:shd w:val="clear" w:color="auto" w:fill="D9D9D9"/>
            <w:noWrap/>
            <w:vAlign w:val="center"/>
            <w:hideMark/>
          </w:tcPr>
          <w:p w14:paraId="493AC081"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Comunitaria</w:t>
            </w:r>
          </w:p>
        </w:tc>
        <w:tc>
          <w:tcPr>
            <w:tcW w:w="1418" w:type="dxa"/>
            <w:tcBorders>
              <w:top w:val="nil"/>
              <w:left w:val="nil"/>
              <w:bottom w:val="single" w:sz="4" w:space="0" w:color="auto"/>
              <w:right w:val="single" w:sz="4" w:space="0" w:color="auto"/>
            </w:tcBorders>
            <w:shd w:val="clear" w:color="auto" w:fill="D9D9D9"/>
            <w:noWrap/>
            <w:vAlign w:val="center"/>
            <w:hideMark/>
          </w:tcPr>
          <w:p w14:paraId="6DF7F6A4"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Institucional</w:t>
            </w:r>
          </w:p>
        </w:tc>
      </w:tr>
      <w:tr w:rsidR="00397433" w:rsidRPr="00397433" w14:paraId="11396CB8" w14:textId="77777777" w:rsidTr="00397433">
        <w:trPr>
          <w:trHeight w:val="585"/>
        </w:trPr>
        <w:tc>
          <w:tcPr>
            <w:tcW w:w="671" w:type="dxa"/>
            <w:tcBorders>
              <w:top w:val="nil"/>
              <w:left w:val="single" w:sz="4" w:space="0" w:color="auto"/>
              <w:bottom w:val="single" w:sz="4" w:space="0" w:color="auto"/>
              <w:right w:val="single" w:sz="4" w:space="0" w:color="auto"/>
            </w:tcBorders>
            <w:noWrap/>
            <w:vAlign w:val="center"/>
            <w:hideMark/>
          </w:tcPr>
          <w:p w14:paraId="7E2DB49C"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1</w:t>
            </w:r>
          </w:p>
        </w:tc>
        <w:tc>
          <w:tcPr>
            <w:tcW w:w="2443" w:type="dxa"/>
            <w:tcBorders>
              <w:top w:val="nil"/>
              <w:left w:val="nil"/>
              <w:bottom w:val="single" w:sz="4" w:space="0" w:color="auto"/>
              <w:right w:val="single" w:sz="4" w:space="0" w:color="auto"/>
            </w:tcBorders>
            <w:shd w:val="clear" w:color="auto" w:fill="FFFFFF"/>
            <w:vAlign w:val="center"/>
            <w:hideMark/>
          </w:tcPr>
          <w:p w14:paraId="3A76BA9C"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Philippe Legler</w:t>
            </w:r>
          </w:p>
        </w:tc>
        <w:tc>
          <w:tcPr>
            <w:tcW w:w="2179" w:type="dxa"/>
            <w:tcBorders>
              <w:top w:val="nil"/>
              <w:left w:val="nil"/>
              <w:bottom w:val="single" w:sz="4" w:space="0" w:color="auto"/>
              <w:right w:val="single" w:sz="4" w:space="0" w:color="auto"/>
            </w:tcBorders>
            <w:shd w:val="clear" w:color="auto" w:fill="FFFFFF"/>
            <w:vAlign w:val="center"/>
            <w:hideMark/>
          </w:tcPr>
          <w:p w14:paraId="77E1C8E9"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Estación Cultural de los Oficios</w:t>
            </w:r>
          </w:p>
        </w:tc>
        <w:tc>
          <w:tcPr>
            <w:tcW w:w="1207" w:type="dxa"/>
            <w:tcBorders>
              <w:top w:val="nil"/>
              <w:left w:val="nil"/>
              <w:bottom w:val="single" w:sz="4" w:space="0" w:color="auto"/>
              <w:right w:val="single" w:sz="4" w:space="0" w:color="auto"/>
            </w:tcBorders>
            <w:noWrap/>
            <w:vAlign w:val="bottom"/>
            <w:hideMark/>
          </w:tcPr>
          <w:p w14:paraId="2BE59579"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33" w:type="dxa"/>
            <w:tcBorders>
              <w:top w:val="nil"/>
              <w:left w:val="nil"/>
              <w:bottom w:val="single" w:sz="4" w:space="0" w:color="auto"/>
              <w:right w:val="single" w:sz="4" w:space="0" w:color="auto"/>
            </w:tcBorders>
            <w:noWrap/>
            <w:vAlign w:val="bottom"/>
            <w:hideMark/>
          </w:tcPr>
          <w:p w14:paraId="21A3FC21" w14:textId="418976B7"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18" w:type="dxa"/>
            <w:tcBorders>
              <w:top w:val="nil"/>
              <w:left w:val="nil"/>
              <w:bottom w:val="single" w:sz="4" w:space="0" w:color="auto"/>
              <w:right w:val="single" w:sz="4" w:space="0" w:color="auto"/>
            </w:tcBorders>
            <w:noWrap/>
            <w:vAlign w:val="bottom"/>
            <w:hideMark/>
          </w:tcPr>
          <w:p w14:paraId="2B0C482B"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425DE57D"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630C932D"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2</w:t>
            </w:r>
          </w:p>
        </w:tc>
        <w:tc>
          <w:tcPr>
            <w:tcW w:w="2443" w:type="dxa"/>
            <w:tcBorders>
              <w:top w:val="nil"/>
              <w:left w:val="nil"/>
              <w:bottom w:val="single" w:sz="4" w:space="0" w:color="auto"/>
              <w:right w:val="single" w:sz="4" w:space="0" w:color="auto"/>
            </w:tcBorders>
            <w:shd w:val="clear" w:color="auto" w:fill="FFFFFF"/>
            <w:vAlign w:val="center"/>
            <w:hideMark/>
          </w:tcPr>
          <w:p w14:paraId="7477185C"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 xml:space="preserve">Amparo Rodríguez </w:t>
            </w:r>
          </w:p>
        </w:tc>
        <w:tc>
          <w:tcPr>
            <w:tcW w:w="2179" w:type="dxa"/>
            <w:tcBorders>
              <w:top w:val="nil"/>
              <w:left w:val="nil"/>
              <w:bottom w:val="single" w:sz="4" w:space="0" w:color="auto"/>
              <w:right w:val="single" w:sz="4" w:space="0" w:color="auto"/>
            </w:tcBorders>
            <w:shd w:val="clear" w:color="auto" w:fill="FFFFFF"/>
            <w:vAlign w:val="center"/>
            <w:hideMark/>
          </w:tcPr>
          <w:p w14:paraId="17EE7AA9"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Cura Nativa</w:t>
            </w:r>
          </w:p>
        </w:tc>
        <w:tc>
          <w:tcPr>
            <w:tcW w:w="1207" w:type="dxa"/>
            <w:tcBorders>
              <w:top w:val="nil"/>
              <w:left w:val="nil"/>
              <w:bottom w:val="single" w:sz="4" w:space="0" w:color="auto"/>
              <w:right w:val="single" w:sz="4" w:space="0" w:color="auto"/>
            </w:tcBorders>
            <w:noWrap/>
            <w:vAlign w:val="bottom"/>
            <w:hideMark/>
          </w:tcPr>
          <w:p w14:paraId="32E454FA"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33" w:type="dxa"/>
            <w:tcBorders>
              <w:top w:val="nil"/>
              <w:left w:val="nil"/>
              <w:bottom w:val="single" w:sz="4" w:space="0" w:color="auto"/>
              <w:right w:val="single" w:sz="4" w:space="0" w:color="auto"/>
            </w:tcBorders>
            <w:noWrap/>
            <w:vAlign w:val="bottom"/>
            <w:hideMark/>
          </w:tcPr>
          <w:p w14:paraId="7C9CBB68" w14:textId="6DD6D335"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18" w:type="dxa"/>
            <w:tcBorders>
              <w:top w:val="nil"/>
              <w:left w:val="nil"/>
              <w:bottom w:val="single" w:sz="4" w:space="0" w:color="auto"/>
              <w:right w:val="single" w:sz="4" w:space="0" w:color="auto"/>
            </w:tcBorders>
            <w:noWrap/>
            <w:vAlign w:val="bottom"/>
            <w:hideMark/>
          </w:tcPr>
          <w:p w14:paraId="23CE74A7"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054F640E"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2739B671"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3</w:t>
            </w:r>
          </w:p>
        </w:tc>
        <w:tc>
          <w:tcPr>
            <w:tcW w:w="2443" w:type="dxa"/>
            <w:tcBorders>
              <w:top w:val="nil"/>
              <w:left w:val="nil"/>
              <w:bottom w:val="single" w:sz="4" w:space="0" w:color="auto"/>
              <w:right w:val="single" w:sz="4" w:space="0" w:color="auto"/>
            </w:tcBorders>
            <w:shd w:val="clear" w:color="auto" w:fill="FFFFFF"/>
            <w:vAlign w:val="center"/>
            <w:hideMark/>
          </w:tcPr>
          <w:p w14:paraId="6C18D235"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Carlos Moreno</w:t>
            </w:r>
          </w:p>
        </w:tc>
        <w:tc>
          <w:tcPr>
            <w:tcW w:w="2179" w:type="dxa"/>
            <w:tcBorders>
              <w:top w:val="nil"/>
              <w:left w:val="nil"/>
              <w:bottom w:val="single" w:sz="4" w:space="0" w:color="auto"/>
              <w:right w:val="single" w:sz="4" w:space="0" w:color="auto"/>
            </w:tcBorders>
            <w:shd w:val="clear" w:color="auto" w:fill="FFFFFF"/>
            <w:vAlign w:val="center"/>
            <w:hideMark/>
          </w:tcPr>
          <w:p w14:paraId="0F452E32"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Samper Mendoza</w:t>
            </w:r>
          </w:p>
        </w:tc>
        <w:tc>
          <w:tcPr>
            <w:tcW w:w="1207" w:type="dxa"/>
            <w:tcBorders>
              <w:top w:val="nil"/>
              <w:left w:val="nil"/>
              <w:bottom w:val="single" w:sz="4" w:space="0" w:color="auto"/>
              <w:right w:val="single" w:sz="4" w:space="0" w:color="auto"/>
            </w:tcBorders>
            <w:noWrap/>
            <w:vAlign w:val="bottom"/>
            <w:hideMark/>
          </w:tcPr>
          <w:p w14:paraId="6C0A0037"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33" w:type="dxa"/>
            <w:tcBorders>
              <w:top w:val="nil"/>
              <w:left w:val="nil"/>
              <w:bottom w:val="single" w:sz="4" w:space="0" w:color="auto"/>
              <w:right w:val="single" w:sz="4" w:space="0" w:color="auto"/>
            </w:tcBorders>
            <w:noWrap/>
            <w:vAlign w:val="bottom"/>
            <w:hideMark/>
          </w:tcPr>
          <w:p w14:paraId="56B725D4" w14:textId="528AEB52"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18" w:type="dxa"/>
            <w:tcBorders>
              <w:top w:val="nil"/>
              <w:left w:val="nil"/>
              <w:bottom w:val="single" w:sz="4" w:space="0" w:color="auto"/>
              <w:right w:val="single" w:sz="4" w:space="0" w:color="auto"/>
            </w:tcBorders>
            <w:noWrap/>
            <w:vAlign w:val="bottom"/>
            <w:hideMark/>
          </w:tcPr>
          <w:p w14:paraId="4B332CED"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4377CEB6"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51BE2C66"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4</w:t>
            </w:r>
          </w:p>
        </w:tc>
        <w:tc>
          <w:tcPr>
            <w:tcW w:w="2443" w:type="dxa"/>
            <w:tcBorders>
              <w:top w:val="nil"/>
              <w:left w:val="nil"/>
              <w:bottom w:val="single" w:sz="4" w:space="0" w:color="auto"/>
              <w:right w:val="single" w:sz="4" w:space="0" w:color="auto"/>
            </w:tcBorders>
            <w:shd w:val="clear" w:color="auto" w:fill="FFFFFF"/>
            <w:vAlign w:val="center"/>
            <w:hideMark/>
          </w:tcPr>
          <w:p w14:paraId="07BA318E"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Julio Ramírez</w:t>
            </w:r>
          </w:p>
        </w:tc>
        <w:tc>
          <w:tcPr>
            <w:tcW w:w="2179" w:type="dxa"/>
            <w:tcBorders>
              <w:top w:val="nil"/>
              <w:left w:val="nil"/>
              <w:bottom w:val="single" w:sz="4" w:space="0" w:color="auto"/>
              <w:right w:val="single" w:sz="4" w:space="0" w:color="auto"/>
            </w:tcBorders>
            <w:shd w:val="clear" w:color="auto" w:fill="FFFFFF"/>
            <w:vAlign w:val="center"/>
            <w:hideMark/>
          </w:tcPr>
          <w:p w14:paraId="0D0BC8AA"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Gremio Lustrabotas</w:t>
            </w:r>
          </w:p>
        </w:tc>
        <w:tc>
          <w:tcPr>
            <w:tcW w:w="1207" w:type="dxa"/>
            <w:tcBorders>
              <w:top w:val="nil"/>
              <w:left w:val="nil"/>
              <w:bottom w:val="single" w:sz="4" w:space="0" w:color="auto"/>
              <w:right w:val="single" w:sz="4" w:space="0" w:color="auto"/>
            </w:tcBorders>
            <w:noWrap/>
            <w:vAlign w:val="bottom"/>
            <w:hideMark/>
          </w:tcPr>
          <w:p w14:paraId="181DDE74"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33" w:type="dxa"/>
            <w:tcBorders>
              <w:top w:val="nil"/>
              <w:left w:val="nil"/>
              <w:bottom w:val="single" w:sz="4" w:space="0" w:color="auto"/>
              <w:right w:val="single" w:sz="4" w:space="0" w:color="auto"/>
            </w:tcBorders>
            <w:noWrap/>
            <w:vAlign w:val="bottom"/>
            <w:hideMark/>
          </w:tcPr>
          <w:p w14:paraId="4CEBC090" w14:textId="63BC38A1"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18" w:type="dxa"/>
            <w:tcBorders>
              <w:top w:val="nil"/>
              <w:left w:val="nil"/>
              <w:bottom w:val="single" w:sz="4" w:space="0" w:color="auto"/>
              <w:right w:val="single" w:sz="4" w:space="0" w:color="auto"/>
            </w:tcBorders>
            <w:noWrap/>
            <w:vAlign w:val="bottom"/>
            <w:hideMark/>
          </w:tcPr>
          <w:p w14:paraId="0B47258A"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55D9E217"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66420311"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5</w:t>
            </w:r>
          </w:p>
        </w:tc>
        <w:tc>
          <w:tcPr>
            <w:tcW w:w="2443" w:type="dxa"/>
            <w:tcBorders>
              <w:top w:val="nil"/>
              <w:left w:val="nil"/>
              <w:bottom w:val="single" w:sz="4" w:space="0" w:color="auto"/>
              <w:right w:val="single" w:sz="4" w:space="0" w:color="auto"/>
            </w:tcBorders>
            <w:shd w:val="clear" w:color="auto" w:fill="FFFFFF"/>
            <w:vAlign w:val="center"/>
            <w:hideMark/>
          </w:tcPr>
          <w:p w14:paraId="0D7C930C"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Katherine Noguera</w:t>
            </w:r>
          </w:p>
        </w:tc>
        <w:tc>
          <w:tcPr>
            <w:tcW w:w="2179" w:type="dxa"/>
            <w:tcBorders>
              <w:top w:val="nil"/>
              <w:left w:val="nil"/>
              <w:bottom w:val="single" w:sz="4" w:space="0" w:color="auto"/>
              <w:right w:val="single" w:sz="4" w:space="0" w:color="auto"/>
            </w:tcBorders>
            <w:shd w:val="clear" w:color="auto" w:fill="FFFFFF"/>
            <w:vAlign w:val="center"/>
            <w:hideMark/>
          </w:tcPr>
          <w:p w14:paraId="7F21EE1A"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Doña Carmen</w:t>
            </w:r>
          </w:p>
        </w:tc>
        <w:tc>
          <w:tcPr>
            <w:tcW w:w="1207" w:type="dxa"/>
            <w:tcBorders>
              <w:top w:val="nil"/>
              <w:left w:val="nil"/>
              <w:bottom w:val="single" w:sz="4" w:space="0" w:color="auto"/>
              <w:right w:val="single" w:sz="4" w:space="0" w:color="auto"/>
            </w:tcBorders>
            <w:noWrap/>
            <w:vAlign w:val="bottom"/>
            <w:hideMark/>
          </w:tcPr>
          <w:p w14:paraId="53B844DE" w14:textId="6EBA0915"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5F36E85D" w14:textId="052DDF5E"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587D3151"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5DB18E9B"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22C37B40"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6</w:t>
            </w:r>
          </w:p>
        </w:tc>
        <w:tc>
          <w:tcPr>
            <w:tcW w:w="2443" w:type="dxa"/>
            <w:tcBorders>
              <w:top w:val="nil"/>
              <w:left w:val="nil"/>
              <w:bottom w:val="single" w:sz="4" w:space="0" w:color="auto"/>
              <w:right w:val="single" w:sz="4" w:space="0" w:color="auto"/>
            </w:tcBorders>
            <w:shd w:val="clear" w:color="auto" w:fill="FFFFFF"/>
            <w:vAlign w:val="center"/>
            <w:hideMark/>
          </w:tcPr>
          <w:p w14:paraId="405C197F"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 xml:space="preserve">Daniel Andrés Turizzo Montoya </w:t>
            </w:r>
          </w:p>
        </w:tc>
        <w:tc>
          <w:tcPr>
            <w:tcW w:w="2179" w:type="dxa"/>
            <w:tcBorders>
              <w:top w:val="nil"/>
              <w:left w:val="nil"/>
              <w:bottom w:val="single" w:sz="4" w:space="0" w:color="auto"/>
              <w:right w:val="single" w:sz="4" w:space="0" w:color="auto"/>
            </w:tcBorders>
            <w:shd w:val="clear" w:color="auto" w:fill="FFFFFF"/>
            <w:vAlign w:val="center"/>
            <w:hideMark/>
          </w:tcPr>
          <w:p w14:paraId="284AEF69"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Curuwa</w:t>
            </w:r>
          </w:p>
        </w:tc>
        <w:tc>
          <w:tcPr>
            <w:tcW w:w="1207" w:type="dxa"/>
            <w:tcBorders>
              <w:top w:val="nil"/>
              <w:left w:val="nil"/>
              <w:bottom w:val="single" w:sz="4" w:space="0" w:color="auto"/>
              <w:right w:val="single" w:sz="4" w:space="0" w:color="auto"/>
            </w:tcBorders>
            <w:noWrap/>
            <w:vAlign w:val="bottom"/>
            <w:hideMark/>
          </w:tcPr>
          <w:p w14:paraId="5DCF538D"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33" w:type="dxa"/>
            <w:tcBorders>
              <w:top w:val="nil"/>
              <w:left w:val="nil"/>
              <w:bottom w:val="single" w:sz="4" w:space="0" w:color="auto"/>
              <w:right w:val="single" w:sz="4" w:space="0" w:color="auto"/>
            </w:tcBorders>
            <w:noWrap/>
            <w:vAlign w:val="bottom"/>
            <w:hideMark/>
          </w:tcPr>
          <w:p w14:paraId="75C54234" w14:textId="3C0C96EE"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18" w:type="dxa"/>
            <w:tcBorders>
              <w:top w:val="nil"/>
              <w:left w:val="nil"/>
              <w:bottom w:val="single" w:sz="4" w:space="0" w:color="auto"/>
              <w:right w:val="single" w:sz="4" w:space="0" w:color="auto"/>
            </w:tcBorders>
            <w:noWrap/>
            <w:vAlign w:val="bottom"/>
            <w:hideMark/>
          </w:tcPr>
          <w:p w14:paraId="2B89BA01"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3A9BF303"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7FB8ACC4"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7</w:t>
            </w:r>
          </w:p>
        </w:tc>
        <w:tc>
          <w:tcPr>
            <w:tcW w:w="2443" w:type="dxa"/>
            <w:tcBorders>
              <w:top w:val="nil"/>
              <w:left w:val="nil"/>
              <w:bottom w:val="single" w:sz="4" w:space="0" w:color="auto"/>
              <w:right w:val="single" w:sz="4" w:space="0" w:color="auto"/>
            </w:tcBorders>
            <w:shd w:val="clear" w:color="auto" w:fill="FFFFFF"/>
            <w:vAlign w:val="center"/>
            <w:hideMark/>
          </w:tcPr>
          <w:p w14:paraId="6AC8E0F3"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Edwin Arias</w:t>
            </w:r>
          </w:p>
        </w:tc>
        <w:tc>
          <w:tcPr>
            <w:tcW w:w="2179" w:type="dxa"/>
            <w:tcBorders>
              <w:top w:val="nil"/>
              <w:left w:val="nil"/>
              <w:bottom w:val="single" w:sz="4" w:space="0" w:color="auto"/>
              <w:right w:val="single" w:sz="4" w:space="0" w:color="auto"/>
            </w:tcBorders>
            <w:shd w:val="clear" w:color="auto" w:fill="FFFFFF"/>
            <w:vAlign w:val="center"/>
            <w:hideMark/>
          </w:tcPr>
          <w:p w14:paraId="376AACF5"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Casa de la Juventud</w:t>
            </w:r>
          </w:p>
        </w:tc>
        <w:tc>
          <w:tcPr>
            <w:tcW w:w="1207" w:type="dxa"/>
            <w:tcBorders>
              <w:top w:val="nil"/>
              <w:left w:val="nil"/>
              <w:bottom w:val="single" w:sz="4" w:space="0" w:color="auto"/>
              <w:right w:val="single" w:sz="4" w:space="0" w:color="auto"/>
            </w:tcBorders>
            <w:noWrap/>
            <w:vAlign w:val="bottom"/>
            <w:hideMark/>
          </w:tcPr>
          <w:p w14:paraId="127A1563"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33" w:type="dxa"/>
            <w:tcBorders>
              <w:top w:val="nil"/>
              <w:left w:val="nil"/>
              <w:bottom w:val="single" w:sz="4" w:space="0" w:color="auto"/>
              <w:right w:val="single" w:sz="4" w:space="0" w:color="auto"/>
            </w:tcBorders>
            <w:noWrap/>
            <w:vAlign w:val="bottom"/>
            <w:hideMark/>
          </w:tcPr>
          <w:p w14:paraId="70933D65" w14:textId="07639301"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18" w:type="dxa"/>
            <w:tcBorders>
              <w:top w:val="nil"/>
              <w:left w:val="nil"/>
              <w:bottom w:val="single" w:sz="4" w:space="0" w:color="auto"/>
              <w:right w:val="single" w:sz="4" w:space="0" w:color="auto"/>
            </w:tcBorders>
            <w:noWrap/>
            <w:vAlign w:val="bottom"/>
            <w:hideMark/>
          </w:tcPr>
          <w:p w14:paraId="5BA74200"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1316A6CC"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0BC67AFB"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8</w:t>
            </w:r>
          </w:p>
        </w:tc>
        <w:tc>
          <w:tcPr>
            <w:tcW w:w="2443" w:type="dxa"/>
            <w:tcBorders>
              <w:top w:val="nil"/>
              <w:left w:val="nil"/>
              <w:bottom w:val="single" w:sz="4" w:space="0" w:color="auto"/>
              <w:right w:val="single" w:sz="4" w:space="0" w:color="auto"/>
            </w:tcBorders>
            <w:shd w:val="clear" w:color="auto" w:fill="FFFFFF"/>
            <w:vAlign w:val="center"/>
            <w:hideMark/>
          </w:tcPr>
          <w:p w14:paraId="5868AE32"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Roger Abendaño</w:t>
            </w:r>
          </w:p>
        </w:tc>
        <w:tc>
          <w:tcPr>
            <w:tcW w:w="2179" w:type="dxa"/>
            <w:tcBorders>
              <w:top w:val="nil"/>
              <w:left w:val="nil"/>
              <w:bottom w:val="single" w:sz="4" w:space="0" w:color="auto"/>
              <w:right w:val="single" w:sz="4" w:space="0" w:color="auto"/>
            </w:tcBorders>
            <w:shd w:val="clear" w:color="auto" w:fill="FFFFFF"/>
            <w:vAlign w:val="center"/>
            <w:hideMark/>
          </w:tcPr>
          <w:p w14:paraId="42EFAB26"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Chatin</w:t>
            </w:r>
          </w:p>
        </w:tc>
        <w:tc>
          <w:tcPr>
            <w:tcW w:w="1207" w:type="dxa"/>
            <w:tcBorders>
              <w:top w:val="nil"/>
              <w:left w:val="nil"/>
              <w:bottom w:val="single" w:sz="4" w:space="0" w:color="auto"/>
              <w:right w:val="single" w:sz="4" w:space="0" w:color="auto"/>
            </w:tcBorders>
            <w:noWrap/>
            <w:vAlign w:val="bottom"/>
            <w:hideMark/>
          </w:tcPr>
          <w:p w14:paraId="7F85BBB9" w14:textId="54B72521"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487FB020" w14:textId="56E85113"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6594A8A5"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6E2A48B5"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6709A651"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9</w:t>
            </w:r>
          </w:p>
        </w:tc>
        <w:tc>
          <w:tcPr>
            <w:tcW w:w="2443" w:type="dxa"/>
            <w:tcBorders>
              <w:top w:val="nil"/>
              <w:left w:val="nil"/>
              <w:bottom w:val="single" w:sz="4" w:space="0" w:color="auto"/>
              <w:right w:val="single" w:sz="4" w:space="0" w:color="auto"/>
            </w:tcBorders>
            <w:shd w:val="clear" w:color="auto" w:fill="FFFFFF"/>
            <w:vAlign w:val="center"/>
            <w:hideMark/>
          </w:tcPr>
          <w:p w14:paraId="783E52D4"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Angela Rodríguez</w:t>
            </w:r>
          </w:p>
        </w:tc>
        <w:tc>
          <w:tcPr>
            <w:tcW w:w="2179" w:type="dxa"/>
            <w:tcBorders>
              <w:top w:val="nil"/>
              <w:left w:val="nil"/>
              <w:bottom w:val="single" w:sz="4" w:space="0" w:color="auto"/>
              <w:right w:val="single" w:sz="4" w:space="0" w:color="auto"/>
            </w:tcBorders>
            <w:shd w:val="clear" w:color="auto" w:fill="FFFFFF"/>
            <w:vAlign w:val="center"/>
            <w:hideMark/>
          </w:tcPr>
          <w:p w14:paraId="09FC9451"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La Conejera</w:t>
            </w:r>
          </w:p>
        </w:tc>
        <w:tc>
          <w:tcPr>
            <w:tcW w:w="1207" w:type="dxa"/>
            <w:tcBorders>
              <w:top w:val="nil"/>
              <w:left w:val="nil"/>
              <w:bottom w:val="single" w:sz="4" w:space="0" w:color="auto"/>
              <w:right w:val="single" w:sz="4" w:space="0" w:color="auto"/>
            </w:tcBorders>
            <w:noWrap/>
            <w:vAlign w:val="bottom"/>
            <w:hideMark/>
          </w:tcPr>
          <w:p w14:paraId="39D2A04C" w14:textId="6A1BE019"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605C5847" w14:textId="76324E86"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51B37F5F"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660D63EE"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673448DA"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10</w:t>
            </w:r>
          </w:p>
        </w:tc>
        <w:tc>
          <w:tcPr>
            <w:tcW w:w="2443" w:type="dxa"/>
            <w:tcBorders>
              <w:top w:val="nil"/>
              <w:left w:val="nil"/>
              <w:bottom w:val="single" w:sz="4" w:space="0" w:color="auto"/>
              <w:right w:val="single" w:sz="4" w:space="0" w:color="auto"/>
            </w:tcBorders>
            <w:shd w:val="clear" w:color="auto" w:fill="FFFFFF"/>
            <w:vAlign w:val="center"/>
            <w:hideMark/>
          </w:tcPr>
          <w:p w14:paraId="5BDBD233"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Isaac Cantor Vargas</w:t>
            </w:r>
          </w:p>
        </w:tc>
        <w:tc>
          <w:tcPr>
            <w:tcW w:w="2179" w:type="dxa"/>
            <w:tcBorders>
              <w:top w:val="nil"/>
              <w:left w:val="nil"/>
              <w:bottom w:val="single" w:sz="4" w:space="0" w:color="auto"/>
              <w:right w:val="single" w:sz="4" w:space="0" w:color="auto"/>
            </w:tcBorders>
            <w:shd w:val="clear" w:color="auto" w:fill="FFFFFF"/>
            <w:vAlign w:val="center"/>
            <w:hideMark/>
          </w:tcPr>
          <w:p w14:paraId="1B1BC3CC"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Aaron</w:t>
            </w:r>
          </w:p>
        </w:tc>
        <w:tc>
          <w:tcPr>
            <w:tcW w:w="1207" w:type="dxa"/>
            <w:tcBorders>
              <w:top w:val="nil"/>
              <w:left w:val="nil"/>
              <w:bottom w:val="single" w:sz="4" w:space="0" w:color="auto"/>
              <w:right w:val="single" w:sz="4" w:space="0" w:color="auto"/>
            </w:tcBorders>
            <w:noWrap/>
            <w:vAlign w:val="bottom"/>
            <w:hideMark/>
          </w:tcPr>
          <w:p w14:paraId="133337B6" w14:textId="6FDE4FCB"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2EED0959" w14:textId="02D2CB55"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568C7911"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649029C0"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2ABF8ABD"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11</w:t>
            </w:r>
          </w:p>
        </w:tc>
        <w:tc>
          <w:tcPr>
            <w:tcW w:w="2443" w:type="dxa"/>
            <w:tcBorders>
              <w:top w:val="nil"/>
              <w:left w:val="nil"/>
              <w:bottom w:val="single" w:sz="4" w:space="0" w:color="auto"/>
              <w:right w:val="single" w:sz="4" w:space="0" w:color="auto"/>
            </w:tcBorders>
            <w:shd w:val="clear" w:color="auto" w:fill="FFFFFF"/>
            <w:vAlign w:val="center"/>
            <w:hideMark/>
          </w:tcPr>
          <w:p w14:paraId="113A3002"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Sergio Camargo</w:t>
            </w:r>
          </w:p>
        </w:tc>
        <w:tc>
          <w:tcPr>
            <w:tcW w:w="2179" w:type="dxa"/>
            <w:tcBorders>
              <w:top w:val="nil"/>
              <w:left w:val="nil"/>
              <w:bottom w:val="single" w:sz="4" w:space="0" w:color="auto"/>
              <w:right w:val="single" w:sz="4" w:space="0" w:color="auto"/>
            </w:tcBorders>
            <w:shd w:val="clear" w:color="auto" w:fill="FFFFFF"/>
            <w:vAlign w:val="center"/>
            <w:hideMark/>
          </w:tcPr>
          <w:p w14:paraId="00506AD0"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Camargo</w:t>
            </w:r>
          </w:p>
        </w:tc>
        <w:tc>
          <w:tcPr>
            <w:tcW w:w="1207" w:type="dxa"/>
            <w:tcBorders>
              <w:top w:val="nil"/>
              <w:left w:val="nil"/>
              <w:bottom w:val="single" w:sz="4" w:space="0" w:color="auto"/>
              <w:right w:val="single" w:sz="4" w:space="0" w:color="auto"/>
            </w:tcBorders>
            <w:noWrap/>
            <w:vAlign w:val="bottom"/>
            <w:hideMark/>
          </w:tcPr>
          <w:p w14:paraId="281E55E0" w14:textId="518D2F79"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2ED14194" w14:textId="059DC724"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2CCD8C68"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4E358B19"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099E9EE4"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12</w:t>
            </w:r>
          </w:p>
        </w:tc>
        <w:tc>
          <w:tcPr>
            <w:tcW w:w="2443" w:type="dxa"/>
            <w:tcBorders>
              <w:top w:val="nil"/>
              <w:left w:val="nil"/>
              <w:bottom w:val="single" w:sz="4" w:space="0" w:color="auto"/>
              <w:right w:val="single" w:sz="4" w:space="0" w:color="auto"/>
            </w:tcBorders>
            <w:shd w:val="clear" w:color="auto" w:fill="FFFFFF"/>
            <w:vAlign w:val="center"/>
            <w:hideMark/>
          </w:tcPr>
          <w:p w14:paraId="25425923"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Daniel Turizzo Chala</w:t>
            </w:r>
          </w:p>
        </w:tc>
        <w:tc>
          <w:tcPr>
            <w:tcW w:w="2179" w:type="dxa"/>
            <w:tcBorders>
              <w:top w:val="nil"/>
              <w:left w:val="nil"/>
              <w:bottom w:val="single" w:sz="4" w:space="0" w:color="auto"/>
              <w:right w:val="single" w:sz="4" w:space="0" w:color="auto"/>
            </w:tcBorders>
            <w:shd w:val="clear" w:color="auto" w:fill="FFFFFF"/>
            <w:vAlign w:val="center"/>
            <w:hideMark/>
          </w:tcPr>
          <w:p w14:paraId="7D62520D"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La casa del Sauco</w:t>
            </w:r>
          </w:p>
        </w:tc>
        <w:tc>
          <w:tcPr>
            <w:tcW w:w="1207" w:type="dxa"/>
            <w:tcBorders>
              <w:top w:val="nil"/>
              <w:left w:val="nil"/>
              <w:bottom w:val="single" w:sz="4" w:space="0" w:color="auto"/>
              <w:right w:val="single" w:sz="4" w:space="0" w:color="auto"/>
            </w:tcBorders>
            <w:noWrap/>
            <w:vAlign w:val="bottom"/>
            <w:hideMark/>
          </w:tcPr>
          <w:p w14:paraId="3FF2C1B9" w14:textId="65328326"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5EFE9991" w14:textId="7B6AAEC6"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685634D4"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0F92A349"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77260F00"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13</w:t>
            </w:r>
          </w:p>
        </w:tc>
        <w:tc>
          <w:tcPr>
            <w:tcW w:w="2443" w:type="dxa"/>
            <w:tcBorders>
              <w:top w:val="nil"/>
              <w:left w:val="nil"/>
              <w:bottom w:val="single" w:sz="4" w:space="0" w:color="auto"/>
              <w:right w:val="single" w:sz="4" w:space="0" w:color="auto"/>
            </w:tcBorders>
            <w:shd w:val="clear" w:color="auto" w:fill="FFFFFF"/>
            <w:vAlign w:val="center"/>
            <w:hideMark/>
          </w:tcPr>
          <w:p w14:paraId="0A1A79CD"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Gabriel Esteban Espinosa Barragán</w:t>
            </w:r>
          </w:p>
        </w:tc>
        <w:tc>
          <w:tcPr>
            <w:tcW w:w="2179" w:type="dxa"/>
            <w:tcBorders>
              <w:top w:val="nil"/>
              <w:left w:val="nil"/>
              <w:bottom w:val="single" w:sz="4" w:space="0" w:color="auto"/>
              <w:right w:val="single" w:sz="4" w:space="0" w:color="auto"/>
            </w:tcBorders>
            <w:shd w:val="clear" w:color="auto" w:fill="FFFFFF"/>
            <w:vAlign w:val="center"/>
            <w:hideMark/>
          </w:tcPr>
          <w:p w14:paraId="34BF5842"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Quysa Colibri</w:t>
            </w:r>
          </w:p>
        </w:tc>
        <w:tc>
          <w:tcPr>
            <w:tcW w:w="1207" w:type="dxa"/>
            <w:tcBorders>
              <w:top w:val="nil"/>
              <w:left w:val="nil"/>
              <w:bottom w:val="single" w:sz="4" w:space="0" w:color="auto"/>
              <w:right w:val="single" w:sz="4" w:space="0" w:color="auto"/>
            </w:tcBorders>
            <w:noWrap/>
            <w:vAlign w:val="bottom"/>
            <w:hideMark/>
          </w:tcPr>
          <w:p w14:paraId="2BA9AAF4" w14:textId="2EFAB912"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2710175A" w14:textId="4C472D98"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2F5CA0D4"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03D6D6AC"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078ED8D3"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14</w:t>
            </w:r>
          </w:p>
        </w:tc>
        <w:tc>
          <w:tcPr>
            <w:tcW w:w="2443" w:type="dxa"/>
            <w:tcBorders>
              <w:top w:val="nil"/>
              <w:left w:val="nil"/>
              <w:bottom w:val="single" w:sz="4" w:space="0" w:color="auto"/>
              <w:right w:val="single" w:sz="4" w:space="0" w:color="auto"/>
            </w:tcBorders>
            <w:shd w:val="clear" w:color="auto" w:fill="FFFFFF"/>
            <w:vAlign w:val="center"/>
            <w:hideMark/>
          </w:tcPr>
          <w:p w14:paraId="0E20DE10"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Néstor Escobar</w:t>
            </w:r>
          </w:p>
        </w:tc>
        <w:tc>
          <w:tcPr>
            <w:tcW w:w="2179" w:type="dxa"/>
            <w:tcBorders>
              <w:top w:val="nil"/>
              <w:left w:val="nil"/>
              <w:bottom w:val="single" w:sz="4" w:space="0" w:color="auto"/>
              <w:right w:val="single" w:sz="4" w:space="0" w:color="auto"/>
            </w:tcBorders>
            <w:shd w:val="clear" w:color="auto" w:fill="FFFFFF"/>
            <w:vAlign w:val="center"/>
            <w:hideMark/>
          </w:tcPr>
          <w:p w14:paraId="1DF3C343"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Dali</w:t>
            </w:r>
          </w:p>
        </w:tc>
        <w:tc>
          <w:tcPr>
            <w:tcW w:w="1207" w:type="dxa"/>
            <w:tcBorders>
              <w:top w:val="nil"/>
              <w:left w:val="nil"/>
              <w:bottom w:val="single" w:sz="4" w:space="0" w:color="auto"/>
              <w:right w:val="single" w:sz="4" w:space="0" w:color="auto"/>
            </w:tcBorders>
            <w:noWrap/>
            <w:vAlign w:val="bottom"/>
            <w:hideMark/>
          </w:tcPr>
          <w:p w14:paraId="2B96A4B4" w14:textId="407E347E"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4D394C2E" w14:textId="46C22370"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2A2C62CB"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6992BD10"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63F63E8D"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15</w:t>
            </w:r>
          </w:p>
        </w:tc>
        <w:tc>
          <w:tcPr>
            <w:tcW w:w="2443" w:type="dxa"/>
            <w:tcBorders>
              <w:top w:val="nil"/>
              <w:left w:val="nil"/>
              <w:bottom w:val="single" w:sz="4" w:space="0" w:color="auto"/>
              <w:right w:val="single" w:sz="4" w:space="0" w:color="auto"/>
            </w:tcBorders>
            <w:shd w:val="clear" w:color="auto" w:fill="FFFFFF"/>
            <w:vAlign w:val="center"/>
            <w:hideMark/>
          </w:tcPr>
          <w:p w14:paraId="78CA9EA8"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Michael Guarín Moreno</w:t>
            </w:r>
          </w:p>
        </w:tc>
        <w:tc>
          <w:tcPr>
            <w:tcW w:w="2179" w:type="dxa"/>
            <w:tcBorders>
              <w:top w:val="nil"/>
              <w:left w:val="nil"/>
              <w:bottom w:val="single" w:sz="4" w:space="0" w:color="auto"/>
              <w:right w:val="single" w:sz="4" w:space="0" w:color="auto"/>
            </w:tcBorders>
            <w:shd w:val="clear" w:color="auto" w:fill="FFFFFF"/>
            <w:vAlign w:val="center"/>
            <w:hideMark/>
          </w:tcPr>
          <w:p w14:paraId="10358167"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Bagcycling</w:t>
            </w:r>
          </w:p>
        </w:tc>
        <w:tc>
          <w:tcPr>
            <w:tcW w:w="1207" w:type="dxa"/>
            <w:tcBorders>
              <w:top w:val="nil"/>
              <w:left w:val="nil"/>
              <w:bottom w:val="single" w:sz="4" w:space="0" w:color="auto"/>
              <w:right w:val="single" w:sz="4" w:space="0" w:color="auto"/>
            </w:tcBorders>
            <w:noWrap/>
            <w:vAlign w:val="bottom"/>
            <w:hideMark/>
          </w:tcPr>
          <w:p w14:paraId="6FB21552" w14:textId="45588DAF"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1DE8E0E1" w14:textId="584F9792"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0A07D568"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14331E77"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3D6BF730"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16</w:t>
            </w:r>
          </w:p>
        </w:tc>
        <w:tc>
          <w:tcPr>
            <w:tcW w:w="2443" w:type="dxa"/>
            <w:tcBorders>
              <w:top w:val="nil"/>
              <w:left w:val="nil"/>
              <w:bottom w:val="single" w:sz="4" w:space="0" w:color="auto"/>
              <w:right w:val="single" w:sz="4" w:space="0" w:color="auto"/>
            </w:tcBorders>
            <w:shd w:val="clear" w:color="auto" w:fill="FFFFFF"/>
            <w:vAlign w:val="center"/>
            <w:hideMark/>
          </w:tcPr>
          <w:p w14:paraId="71F6C73F"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Luz Marlen Gómez Jiménez</w:t>
            </w:r>
          </w:p>
        </w:tc>
        <w:tc>
          <w:tcPr>
            <w:tcW w:w="2179" w:type="dxa"/>
            <w:tcBorders>
              <w:top w:val="nil"/>
              <w:left w:val="nil"/>
              <w:bottom w:val="single" w:sz="4" w:space="0" w:color="auto"/>
              <w:right w:val="single" w:sz="4" w:space="0" w:color="auto"/>
            </w:tcBorders>
            <w:shd w:val="clear" w:color="auto" w:fill="FFFFFF"/>
            <w:vAlign w:val="center"/>
            <w:hideMark/>
          </w:tcPr>
          <w:p w14:paraId="2346C1C9"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San Martin</w:t>
            </w:r>
          </w:p>
        </w:tc>
        <w:tc>
          <w:tcPr>
            <w:tcW w:w="1207" w:type="dxa"/>
            <w:tcBorders>
              <w:top w:val="nil"/>
              <w:left w:val="nil"/>
              <w:bottom w:val="single" w:sz="4" w:space="0" w:color="auto"/>
              <w:right w:val="single" w:sz="4" w:space="0" w:color="auto"/>
            </w:tcBorders>
            <w:noWrap/>
            <w:vAlign w:val="bottom"/>
            <w:hideMark/>
          </w:tcPr>
          <w:p w14:paraId="6C850645" w14:textId="4A4A757B"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464E857E" w14:textId="613280F8"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4D641980"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4BE6E097"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08248257"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17</w:t>
            </w:r>
          </w:p>
        </w:tc>
        <w:tc>
          <w:tcPr>
            <w:tcW w:w="2443" w:type="dxa"/>
            <w:tcBorders>
              <w:top w:val="nil"/>
              <w:left w:val="nil"/>
              <w:bottom w:val="single" w:sz="4" w:space="0" w:color="auto"/>
              <w:right w:val="single" w:sz="4" w:space="0" w:color="auto"/>
            </w:tcBorders>
            <w:shd w:val="clear" w:color="auto" w:fill="FFFFFF"/>
            <w:vAlign w:val="center"/>
            <w:hideMark/>
          </w:tcPr>
          <w:p w14:paraId="7BA9058A"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Daniel Andrés Saavedra</w:t>
            </w:r>
          </w:p>
        </w:tc>
        <w:tc>
          <w:tcPr>
            <w:tcW w:w="2179" w:type="dxa"/>
            <w:tcBorders>
              <w:top w:val="nil"/>
              <w:left w:val="nil"/>
              <w:bottom w:val="single" w:sz="4" w:space="0" w:color="auto"/>
              <w:right w:val="single" w:sz="4" w:space="0" w:color="auto"/>
            </w:tcBorders>
            <w:shd w:val="clear" w:color="auto" w:fill="FFFFFF"/>
            <w:vAlign w:val="center"/>
            <w:hideMark/>
          </w:tcPr>
          <w:p w14:paraId="1E467958"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San Gabriel</w:t>
            </w:r>
          </w:p>
        </w:tc>
        <w:tc>
          <w:tcPr>
            <w:tcW w:w="1207" w:type="dxa"/>
            <w:tcBorders>
              <w:top w:val="nil"/>
              <w:left w:val="nil"/>
              <w:bottom w:val="single" w:sz="4" w:space="0" w:color="auto"/>
              <w:right w:val="single" w:sz="4" w:space="0" w:color="auto"/>
            </w:tcBorders>
            <w:noWrap/>
            <w:vAlign w:val="bottom"/>
            <w:hideMark/>
          </w:tcPr>
          <w:p w14:paraId="10A9E257" w14:textId="3449913B"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605CCE03" w14:textId="02CBDB44"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635841F3"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302CDB25"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7342EE79"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18</w:t>
            </w:r>
          </w:p>
        </w:tc>
        <w:tc>
          <w:tcPr>
            <w:tcW w:w="2443" w:type="dxa"/>
            <w:tcBorders>
              <w:top w:val="nil"/>
              <w:left w:val="nil"/>
              <w:bottom w:val="single" w:sz="4" w:space="0" w:color="auto"/>
              <w:right w:val="single" w:sz="4" w:space="0" w:color="auto"/>
            </w:tcBorders>
            <w:shd w:val="clear" w:color="auto" w:fill="FFFFFF"/>
            <w:vAlign w:val="center"/>
            <w:hideMark/>
          </w:tcPr>
          <w:p w14:paraId="69C38E31"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Alexa Días</w:t>
            </w:r>
          </w:p>
        </w:tc>
        <w:tc>
          <w:tcPr>
            <w:tcW w:w="2179" w:type="dxa"/>
            <w:tcBorders>
              <w:top w:val="nil"/>
              <w:left w:val="nil"/>
              <w:bottom w:val="single" w:sz="4" w:space="0" w:color="auto"/>
              <w:right w:val="single" w:sz="4" w:space="0" w:color="auto"/>
            </w:tcBorders>
            <w:shd w:val="clear" w:color="auto" w:fill="FFFFFF"/>
            <w:vAlign w:val="center"/>
            <w:hideMark/>
          </w:tcPr>
          <w:p w14:paraId="0E32DFEC"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Bahía</w:t>
            </w:r>
          </w:p>
        </w:tc>
        <w:tc>
          <w:tcPr>
            <w:tcW w:w="1207" w:type="dxa"/>
            <w:tcBorders>
              <w:top w:val="nil"/>
              <w:left w:val="nil"/>
              <w:bottom w:val="single" w:sz="4" w:space="0" w:color="auto"/>
              <w:right w:val="single" w:sz="4" w:space="0" w:color="auto"/>
            </w:tcBorders>
            <w:noWrap/>
            <w:vAlign w:val="bottom"/>
            <w:hideMark/>
          </w:tcPr>
          <w:p w14:paraId="50C50659" w14:textId="32F8242D"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31916537" w14:textId="6E624FBF"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31E4C380"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559C84EC"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43DFE585"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19</w:t>
            </w:r>
          </w:p>
        </w:tc>
        <w:tc>
          <w:tcPr>
            <w:tcW w:w="2443" w:type="dxa"/>
            <w:tcBorders>
              <w:top w:val="nil"/>
              <w:left w:val="nil"/>
              <w:bottom w:val="single" w:sz="4" w:space="0" w:color="auto"/>
              <w:right w:val="single" w:sz="4" w:space="0" w:color="auto"/>
            </w:tcBorders>
            <w:shd w:val="clear" w:color="auto" w:fill="FFFFFF"/>
            <w:vAlign w:val="center"/>
            <w:hideMark/>
          </w:tcPr>
          <w:p w14:paraId="7F74F94D"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Alba Angarita de Zuluaga</w:t>
            </w:r>
          </w:p>
        </w:tc>
        <w:tc>
          <w:tcPr>
            <w:tcW w:w="2179" w:type="dxa"/>
            <w:tcBorders>
              <w:top w:val="nil"/>
              <w:left w:val="nil"/>
              <w:bottom w:val="single" w:sz="4" w:space="0" w:color="auto"/>
              <w:right w:val="single" w:sz="4" w:space="0" w:color="auto"/>
            </w:tcBorders>
            <w:shd w:val="clear" w:color="auto" w:fill="FFFFFF"/>
            <w:vAlign w:val="center"/>
            <w:hideMark/>
          </w:tcPr>
          <w:p w14:paraId="458D04F2"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Mi Finca</w:t>
            </w:r>
          </w:p>
        </w:tc>
        <w:tc>
          <w:tcPr>
            <w:tcW w:w="1207" w:type="dxa"/>
            <w:tcBorders>
              <w:top w:val="nil"/>
              <w:left w:val="nil"/>
              <w:bottom w:val="single" w:sz="4" w:space="0" w:color="auto"/>
              <w:right w:val="single" w:sz="4" w:space="0" w:color="auto"/>
            </w:tcBorders>
            <w:noWrap/>
            <w:vAlign w:val="bottom"/>
            <w:hideMark/>
          </w:tcPr>
          <w:p w14:paraId="4E038910" w14:textId="6DAEB928"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78ADF9C9" w14:textId="56766727"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45547F18"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2C05495C"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70A43D54"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20</w:t>
            </w:r>
          </w:p>
        </w:tc>
        <w:tc>
          <w:tcPr>
            <w:tcW w:w="2443" w:type="dxa"/>
            <w:tcBorders>
              <w:top w:val="nil"/>
              <w:left w:val="nil"/>
              <w:bottom w:val="single" w:sz="4" w:space="0" w:color="auto"/>
              <w:right w:val="single" w:sz="4" w:space="0" w:color="auto"/>
            </w:tcBorders>
            <w:shd w:val="clear" w:color="auto" w:fill="FFFFFF"/>
            <w:vAlign w:val="center"/>
            <w:hideMark/>
          </w:tcPr>
          <w:p w14:paraId="67D1B96C"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Aurora Melo</w:t>
            </w:r>
          </w:p>
        </w:tc>
        <w:tc>
          <w:tcPr>
            <w:tcW w:w="2179" w:type="dxa"/>
            <w:tcBorders>
              <w:top w:val="nil"/>
              <w:left w:val="nil"/>
              <w:bottom w:val="single" w:sz="4" w:space="0" w:color="auto"/>
              <w:right w:val="single" w:sz="4" w:space="0" w:color="auto"/>
            </w:tcBorders>
            <w:shd w:val="clear" w:color="auto" w:fill="FFFFFF"/>
            <w:vAlign w:val="center"/>
            <w:hideMark/>
          </w:tcPr>
          <w:p w14:paraId="73C35273"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De Doña Aurora</w:t>
            </w:r>
          </w:p>
        </w:tc>
        <w:tc>
          <w:tcPr>
            <w:tcW w:w="1207" w:type="dxa"/>
            <w:tcBorders>
              <w:top w:val="nil"/>
              <w:left w:val="nil"/>
              <w:bottom w:val="single" w:sz="4" w:space="0" w:color="auto"/>
              <w:right w:val="single" w:sz="4" w:space="0" w:color="auto"/>
            </w:tcBorders>
            <w:noWrap/>
            <w:vAlign w:val="bottom"/>
            <w:hideMark/>
          </w:tcPr>
          <w:p w14:paraId="273F0D66" w14:textId="66CC81F0"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38F1D334" w14:textId="5D9343E8"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304040DE"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210B6E3D"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61DC178D"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21</w:t>
            </w:r>
          </w:p>
        </w:tc>
        <w:tc>
          <w:tcPr>
            <w:tcW w:w="2443" w:type="dxa"/>
            <w:tcBorders>
              <w:top w:val="nil"/>
              <w:left w:val="nil"/>
              <w:bottom w:val="single" w:sz="4" w:space="0" w:color="auto"/>
              <w:right w:val="single" w:sz="4" w:space="0" w:color="auto"/>
            </w:tcBorders>
            <w:shd w:val="clear" w:color="auto" w:fill="FFFFFF"/>
            <w:vAlign w:val="center"/>
            <w:hideMark/>
          </w:tcPr>
          <w:p w14:paraId="538060DA"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Catalina Valest</w:t>
            </w:r>
          </w:p>
        </w:tc>
        <w:tc>
          <w:tcPr>
            <w:tcW w:w="2179" w:type="dxa"/>
            <w:tcBorders>
              <w:top w:val="nil"/>
              <w:left w:val="nil"/>
              <w:bottom w:val="single" w:sz="4" w:space="0" w:color="auto"/>
              <w:right w:val="single" w:sz="4" w:space="0" w:color="auto"/>
            </w:tcBorders>
            <w:shd w:val="clear" w:color="auto" w:fill="FFFFFF"/>
            <w:vAlign w:val="center"/>
            <w:hideMark/>
          </w:tcPr>
          <w:p w14:paraId="7F1062DC"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Ombuco</w:t>
            </w:r>
          </w:p>
        </w:tc>
        <w:tc>
          <w:tcPr>
            <w:tcW w:w="1207" w:type="dxa"/>
            <w:tcBorders>
              <w:top w:val="nil"/>
              <w:left w:val="nil"/>
              <w:bottom w:val="single" w:sz="4" w:space="0" w:color="auto"/>
              <w:right w:val="single" w:sz="4" w:space="0" w:color="auto"/>
            </w:tcBorders>
            <w:noWrap/>
            <w:vAlign w:val="bottom"/>
            <w:hideMark/>
          </w:tcPr>
          <w:p w14:paraId="32AD7FB1" w14:textId="2F050D08"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45088730" w14:textId="3B69D21D"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733706C3"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7FDADB30"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4E90D654"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22</w:t>
            </w:r>
          </w:p>
        </w:tc>
        <w:tc>
          <w:tcPr>
            <w:tcW w:w="2443" w:type="dxa"/>
            <w:tcBorders>
              <w:top w:val="nil"/>
              <w:left w:val="nil"/>
              <w:bottom w:val="single" w:sz="4" w:space="0" w:color="auto"/>
              <w:right w:val="single" w:sz="4" w:space="0" w:color="auto"/>
            </w:tcBorders>
            <w:shd w:val="clear" w:color="auto" w:fill="FFFFFF"/>
            <w:vAlign w:val="center"/>
            <w:hideMark/>
          </w:tcPr>
          <w:p w14:paraId="257B28E3"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Jean Pierre Ronderos</w:t>
            </w:r>
          </w:p>
        </w:tc>
        <w:tc>
          <w:tcPr>
            <w:tcW w:w="2179" w:type="dxa"/>
            <w:tcBorders>
              <w:top w:val="nil"/>
              <w:left w:val="nil"/>
              <w:bottom w:val="single" w:sz="4" w:space="0" w:color="auto"/>
              <w:right w:val="single" w:sz="4" w:space="0" w:color="auto"/>
            </w:tcBorders>
            <w:shd w:val="clear" w:color="auto" w:fill="FFFFFF"/>
            <w:vAlign w:val="center"/>
            <w:hideMark/>
          </w:tcPr>
          <w:p w14:paraId="00DC542D"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La Gulupita</w:t>
            </w:r>
          </w:p>
        </w:tc>
        <w:tc>
          <w:tcPr>
            <w:tcW w:w="1207" w:type="dxa"/>
            <w:tcBorders>
              <w:top w:val="nil"/>
              <w:left w:val="nil"/>
              <w:bottom w:val="single" w:sz="4" w:space="0" w:color="auto"/>
              <w:right w:val="single" w:sz="4" w:space="0" w:color="auto"/>
            </w:tcBorders>
            <w:noWrap/>
            <w:vAlign w:val="bottom"/>
            <w:hideMark/>
          </w:tcPr>
          <w:p w14:paraId="1F95EF4F" w14:textId="5A63072C"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560A5C93" w14:textId="72CC3633"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668E658E"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1FE35E42"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0A17C224"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23</w:t>
            </w:r>
          </w:p>
        </w:tc>
        <w:tc>
          <w:tcPr>
            <w:tcW w:w="2443" w:type="dxa"/>
            <w:tcBorders>
              <w:top w:val="nil"/>
              <w:left w:val="nil"/>
              <w:bottom w:val="single" w:sz="4" w:space="0" w:color="auto"/>
              <w:right w:val="single" w:sz="4" w:space="0" w:color="auto"/>
            </w:tcBorders>
            <w:shd w:val="clear" w:color="auto" w:fill="FFFFFF"/>
            <w:vAlign w:val="center"/>
            <w:hideMark/>
          </w:tcPr>
          <w:p w14:paraId="4C7FA2BD"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Leidy Katerin Mojica</w:t>
            </w:r>
          </w:p>
        </w:tc>
        <w:tc>
          <w:tcPr>
            <w:tcW w:w="2179" w:type="dxa"/>
            <w:tcBorders>
              <w:top w:val="nil"/>
              <w:left w:val="nil"/>
              <w:bottom w:val="single" w:sz="4" w:space="0" w:color="auto"/>
              <w:right w:val="single" w:sz="4" w:space="0" w:color="auto"/>
            </w:tcBorders>
            <w:shd w:val="clear" w:color="auto" w:fill="FFFFFF"/>
            <w:vAlign w:val="center"/>
            <w:hideMark/>
          </w:tcPr>
          <w:p w14:paraId="57930753"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Belladona</w:t>
            </w:r>
          </w:p>
        </w:tc>
        <w:tc>
          <w:tcPr>
            <w:tcW w:w="1207" w:type="dxa"/>
            <w:tcBorders>
              <w:top w:val="nil"/>
              <w:left w:val="nil"/>
              <w:bottom w:val="single" w:sz="4" w:space="0" w:color="auto"/>
              <w:right w:val="single" w:sz="4" w:space="0" w:color="auto"/>
            </w:tcBorders>
            <w:noWrap/>
            <w:vAlign w:val="bottom"/>
            <w:hideMark/>
          </w:tcPr>
          <w:p w14:paraId="3E8CCCC0" w14:textId="25A54602"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3A97B42C" w14:textId="2EB9B9C6"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68E7CE54"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63538257"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70A3D979"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24</w:t>
            </w:r>
          </w:p>
        </w:tc>
        <w:tc>
          <w:tcPr>
            <w:tcW w:w="2443" w:type="dxa"/>
            <w:tcBorders>
              <w:top w:val="nil"/>
              <w:left w:val="nil"/>
              <w:bottom w:val="single" w:sz="4" w:space="0" w:color="auto"/>
              <w:right w:val="single" w:sz="4" w:space="0" w:color="auto"/>
            </w:tcBorders>
            <w:shd w:val="clear" w:color="auto" w:fill="FFFFFF"/>
            <w:vAlign w:val="center"/>
            <w:hideMark/>
          </w:tcPr>
          <w:p w14:paraId="58DAEC72"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Felipe Repiso</w:t>
            </w:r>
          </w:p>
        </w:tc>
        <w:tc>
          <w:tcPr>
            <w:tcW w:w="2179" w:type="dxa"/>
            <w:tcBorders>
              <w:top w:val="nil"/>
              <w:left w:val="nil"/>
              <w:bottom w:val="single" w:sz="4" w:space="0" w:color="auto"/>
              <w:right w:val="single" w:sz="4" w:space="0" w:color="auto"/>
            </w:tcBorders>
            <w:shd w:val="clear" w:color="auto" w:fill="FFFFFF"/>
            <w:vAlign w:val="center"/>
            <w:hideMark/>
          </w:tcPr>
          <w:p w14:paraId="61ADA40F" w14:textId="77777777" w:rsidR="00BC0060" w:rsidRPr="00397433" w:rsidRDefault="00BC0060" w:rsidP="00691FD0">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La Colina</w:t>
            </w:r>
          </w:p>
        </w:tc>
        <w:tc>
          <w:tcPr>
            <w:tcW w:w="1207" w:type="dxa"/>
            <w:tcBorders>
              <w:top w:val="nil"/>
              <w:left w:val="nil"/>
              <w:bottom w:val="single" w:sz="4" w:space="0" w:color="auto"/>
              <w:right w:val="single" w:sz="4" w:space="0" w:color="auto"/>
            </w:tcBorders>
            <w:noWrap/>
            <w:vAlign w:val="bottom"/>
            <w:hideMark/>
          </w:tcPr>
          <w:p w14:paraId="5D7BBAB3" w14:textId="2F4198E2"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6EB64A67" w14:textId="1AB6EC4A"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62514867"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4CB1D849"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15BC252A"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25</w:t>
            </w:r>
          </w:p>
        </w:tc>
        <w:tc>
          <w:tcPr>
            <w:tcW w:w="2443" w:type="dxa"/>
            <w:tcBorders>
              <w:top w:val="nil"/>
              <w:left w:val="nil"/>
              <w:bottom w:val="single" w:sz="4" w:space="0" w:color="auto"/>
              <w:right w:val="single" w:sz="4" w:space="0" w:color="auto"/>
            </w:tcBorders>
            <w:shd w:val="clear" w:color="auto" w:fill="FFFFFF"/>
            <w:vAlign w:val="center"/>
            <w:hideMark/>
          </w:tcPr>
          <w:p w14:paraId="6DEA82C3" w14:textId="77777777" w:rsidR="00BC0060" w:rsidRPr="00397433" w:rsidRDefault="00BC0060" w:rsidP="00355CDB">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Luisa Santofimio</w:t>
            </w:r>
          </w:p>
        </w:tc>
        <w:tc>
          <w:tcPr>
            <w:tcW w:w="2179" w:type="dxa"/>
            <w:tcBorders>
              <w:top w:val="nil"/>
              <w:left w:val="nil"/>
              <w:bottom w:val="single" w:sz="4" w:space="0" w:color="auto"/>
              <w:right w:val="single" w:sz="4" w:space="0" w:color="auto"/>
            </w:tcBorders>
            <w:shd w:val="clear" w:color="auto" w:fill="FFFFFF"/>
            <w:vAlign w:val="center"/>
            <w:hideMark/>
          </w:tcPr>
          <w:p w14:paraId="58A7701E" w14:textId="77777777" w:rsidR="00BC0060" w:rsidRPr="00397433" w:rsidRDefault="00BC0060" w:rsidP="00355CDB">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La Veranera</w:t>
            </w:r>
          </w:p>
        </w:tc>
        <w:tc>
          <w:tcPr>
            <w:tcW w:w="1207" w:type="dxa"/>
            <w:tcBorders>
              <w:top w:val="nil"/>
              <w:left w:val="nil"/>
              <w:bottom w:val="single" w:sz="4" w:space="0" w:color="auto"/>
              <w:right w:val="single" w:sz="4" w:space="0" w:color="auto"/>
            </w:tcBorders>
            <w:noWrap/>
            <w:vAlign w:val="bottom"/>
            <w:hideMark/>
          </w:tcPr>
          <w:p w14:paraId="2A8523B7" w14:textId="5A7EBD0C"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50B7DDC6" w14:textId="1528E280"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38C3DAE8"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7FEC7190"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5DC358D6"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26</w:t>
            </w:r>
          </w:p>
        </w:tc>
        <w:tc>
          <w:tcPr>
            <w:tcW w:w="2443" w:type="dxa"/>
            <w:tcBorders>
              <w:top w:val="nil"/>
              <w:left w:val="nil"/>
              <w:bottom w:val="single" w:sz="4" w:space="0" w:color="auto"/>
              <w:right w:val="single" w:sz="4" w:space="0" w:color="auto"/>
            </w:tcBorders>
            <w:shd w:val="clear" w:color="auto" w:fill="FFFFFF"/>
            <w:vAlign w:val="center"/>
            <w:hideMark/>
          </w:tcPr>
          <w:p w14:paraId="2A33EE4C" w14:textId="77777777" w:rsidR="00BC0060" w:rsidRPr="00397433" w:rsidRDefault="00BC0060" w:rsidP="00355CDB">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Marcela Gómez Martínez</w:t>
            </w:r>
          </w:p>
        </w:tc>
        <w:tc>
          <w:tcPr>
            <w:tcW w:w="2179" w:type="dxa"/>
            <w:tcBorders>
              <w:top w:val="nil"/>
              <w:left w:val="nil"/>
              <w:bottom w:val="single" w:sz="4" w:space="0" w:color="auto"/>
              <w:right w:val="single" w:sz="4" w:space="0" w:color="auto"/>
            </w:tcBorders>
            <w:shd w:val="clear" w:color="auto" w:fill="FFFFFF"/>
            <w:vAlign w:val="center"/>
            <w:hideMark/>
          </w:tcPr>
          <w:p w14:paraId="2549AA4F" w14:textId="77777777" w:rsidR="00BC0060" w:rsidRPr="00397433" w:rsidRDefault="00BC0060" w:rsidP="00355CDB">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Kumanday</w:t>
            </w:r>
          </w:p>
        </w:tc>
        <w:tc>
          <w:tcPr>
            <w:tcW w:w="1207" w:type="dxa"/>
            <w:tcBorders>
              <w:top w:val="nil"/>
              <w:left w:val="nil"/>
              <w:bottom w:val="single" w:sz="4" w:space="0" w:color="auto"/>
              <w:right w:val="single" w:sz="4" w:space="0" w:color="auto"/>
            </w:tcBorders>
            <w:noWrap/>
            <w:vAlign w:val="bottom"/>
            <w:hideMark/>
          </w:tcPr>
          <w:p w14:paraId="1617643B" w14:textId="420FD26C"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1A6CE282" w14:textId="1E11959C"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5E3A5C1B"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169ADB58"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2CCDA7E3"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27</w:t>
            </w:r>
          </w:p>
        </w:tc>
        <w:tc>
          <w:tcPr>
            <w:tcW w:w="2443" w:type="dxa"/>
            <w:tcBorders>
              <w:top w:val="nil"/>
              <w:left w:val="nil"/>
              <w:bottom w:val="single" w:sz="4" w:space="0" w:color="auto"/>
              <w:right w:val="single" w:sz="4" w:space="0" w:color="auto"/>
            </w:tcBorders>
            <w:shd w:val="clear" w:color="auto" w:fill="FFFFFF"/>
            <w:vAlign w:val="center"/>
            <w:hideMark/>
          </w:tcPr>
          <w:p w14:paraId="68AE6BA1" w14:textId="77777777" w:rsidR="00BC0060" w:rsidRPr="00397433" w:rsidRDefault="00BC0060" w:rsidP="00355CDB">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Johan Quintero</w:t>
            </w:r>
          </w:p>
        </w:tc>
        <w:tc>
          <w:tcPr>
            <w:tcW w:w="2179" w:type="dxa"/>
            <w:tcBorders>
              <w:top w:val="nil"/>
              <w:left w:val="nil"/>
              <w:bottom w:val="single" w:sz="4" w:space="0" w:color="auto"/>
              <w:right w:val="single" w:sz="4" w:space="0" w:color="auto"/>
            </w:tcBorders>
            <w:shd w:val="clear" w:color="auto" w:fill="FFFFFF"/>
            <w:vAlign w:val="center"/>
            <w:hideMark/>
          </w:tcPr>
          <w:p w14:paraId="0663FA3A" w14:textId="77777777" w:rsidR="00BC0060" w:rsidRPr="00397433" w:rsidRDefault="00BC0060" w:rsidP="00355CDB">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Colombian Golden</w:t>
            </w:r>
          </w:p>
        </w:tc>
        <w:tc>
          <w:tcPr>
            <w:tcW w:w="1207" w:type="dxa"/>
            <w:tcBorders>
              <w:top w:val="nil"/>
              <w:left w:val="nil"/>
              <w:bottom w:val="single" w:sz="4" w:space="0" w:color="auto"/>
              <w:right w:val="single" w:sz="4" w:space="0" w:color="auto"/>
            </w:tcBorders>
            <w:noWrap/>
            <w:vAlign w:val="bottom"/>
            <w:hideMark/>
          </w:tcPr>
          <w:p w14:paraId="4483246A" w14:textId="7CD283CE"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7618C9D3" w14:textId="18CE8C9C"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3003A342"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36E117B2"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4DDD7391"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28</w:t>
            </w:r>
          </w:p>
        </w:tc>
        <w:tc>
          <w:tcPr>
            <w:tcW w:w="2443" w:type="dxa"/>
            <w:tcBorders>
              <w:top w:val="nil"/>
              <w:left w:val="nil"/>
              <w:bottom w:val="single" w:sz="4" w:space="0" w:color="auto"/>
              <w:right w:val="single" w:sz="4" w:space="0" w:color="auto"/>
            </w:tcBorders>
            <w:shd w:val="clear" w:color="auto" w:fill="FFFFFF"/>
            <w:vAlign w:val="center"/>
            <w:hideMark/>
          </w:tcPr>
          <w:p w14:paraId="43A76F25" w14:textId="77777777" w:rsidR="00BC0060" w:rsidRPr="00397433" w:rsidRDefault="00BC0060" w:rsidP="00355CDB">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Marcela Gómez Martínez</w:t>
            </w:r>
          </w:p>
        </w:tc>
        <w:tc>
          <w:tcPr>
            <w:tcW w:w="2179" w:type="dxa"/>
            <w:tcBorders>
              <w:top w:val="nil"/>
              <w:left w:val="nil"/>
              <w:bottom w:val="single" w:sz="4" w:space="0" w:color="auto"/>
              <w:right w:val="single" w:sz="4" w:space="0" w:color="auto"/>
            </w:tcBorders>
            <w:shd w:val="clear" w:color="auto" w:fill="FFFFFF"/>
            <w:vAlign w:val="center"/>
            <w:hideMark/>
          </w:tcPr>
          <w:p w14:paraId="095FC6BF" w14:textId="77777777" w:rsidR="00BC0060" w:rsidRPr="00397433" w:rsidRDefault="00BC0060" w:rsidP="00067BCE">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Chagra Viva</w:t>
            </w:r>
          </w:p>
        </w:tc>
        <w:tc>
          <w:tcPr>
            <w:tcW w:w="1207" w:type="dxa"/>
            <w:tcBorders>
              <w:top w:val="nil"/>
              <w:left w:val="nil"/>
              <w:bottom w:val="single" w:sz="4" w:space="0" w:color="auto"/>
              <w:right w:val="single" w:sz="4" w:space="0" w:color="auto"/>
            </w:tcBorders>
            <w:noWrap/>
            <w:vAlign w:val="bottom"/>
            <w:hideMark/>
          </w:tcPr>
          <w:p w14:paraId="3A583ADE" w14:textId="26E16654"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65D73A4D" w14:textId="41064CF0"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0CE48C25"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38625E83"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7456E09A"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29</w:t>
            </w:r>
          </w:p>
        </w:tc>
        <w:tc>
          <w:tcPr>
            <w:tcW w:w="2443" w:type="dxa"/>
            <w:tcBorders>
              <w:top w:val="nil"/>
              <w:left w:val="nil"/>
              <w:bottom w:val="single" w:sz="4" w:space="0" w:color="auto"/>
              <w:right w:val="single" w:sz="4" w:space="0" w:color="auto"/>
            </w:tcBorders>
            <w:shd w:val="clear" w:color="auto" w:fill="FFFFFF"/>
            <w:vAlign w:val="center"/>
            <w:hideMark/>
          </w:tcPr>
          <w:p w14:paraId="43F36516" w14:textId="77777777" w:rsidR="00BC0060" w:rsidRPr="00397433" w:rsidRDefault="00BC0060" w:rsidP="00355CDB">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Luisa Sofia Tobos</w:t>
            </w:r>
          </w:p>
        </w:tc>
        <w:tc>
          <w:tcPr>
            <w:tcW w:w="2179" w:type="dxa"/>
            <w:tcBorders>
              <w:top w:val="nil"/>
              <w:left w:val="nil"/>
              <w:bottom w:val="single" w:sz="4" w:space="0" w:color="auto"/>
              <w:right w:val="single" w:sz="4" w:space="0" w:color="auto"/>
            </w:tcBorders>
            <w:shd w:val="clear" w:color="auto" w:fill="FFFFFF"/>
            <w:vAlign w:val="center"/>
            <w:hideMark/>
          </w:tcPr>
          <w:p w14:paraId="6B79E19E" w14:textId="77777777" w:rsidR="00BC0060" w:rsidRPr="00397433" w:rsidRDefault="00BC0060" w:rsidP="00067BCE">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Reverdecer</w:t>
            </w:r>
          </w:p>
        </w:tc>
        <w:tc>
          <w:tcPr>
            <w:tcW w:w="1207" w:type="dxa"/>
            <w:tcBorders>
              <w:top w:val="nil"/>
              <w:left w:val="nil"/>
              <w:bottom w:val="single" w:sz="4" w:space="0" w:color="auto"/>
              <w:right w:val="single" w:sz="4" w:space="0" w:color="auto"/>
            </w:tcBorders>
            <w:noWrap/>
            <w:vAlign w:val="bottom"/>
            <w:hideMark/>
          </w:tcPr>
          <w:p w14:paraId="3DD1686E" w14:textId="413CB1E1"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25A00B85" w14:textId="22BAF8C5"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07E6B2B4"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380EB5C6"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30D08721"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30</w:t>
            </w:r>
          </w:p>
        </w:tc>
        <w:tc>
          <w:tcPr>
            <w:tcW w:w="2443" w:type="dxa"/>
            <w:tcBorders>
              <w:top w:val="nil"/>
              <w:left w:val="nil"/>
              <w:bottom w:val="single" w:sz="4" w:space="0" w:color="auto"/>
              <w:right w:val="single" w:sz="4" w:space="0" w:color="auto"/>
            </w:tcBorders>
            <w:shd w:val="clear" w:color="auto" w:fill="FFFFFF"/>
            <w:vAlign w:val="center"/>
            <w:hideMark/>
          </w:tcPr>
          <w:p w14:paraId="4ADCD807" w14:textId="77777777" w:rsidR="00BC0060" w:rsidRPr="00397433" w:rsidRDefault="00BC0060" w:rsidP="00355CDB">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Jorge Alexis Morales</w:t>
            </w:r>
          </w:p>
        </w:tc>
        <w:tc>
          <w:tcPr>
            <w:tcW w:w="2179" w:type="dxa"/>
            <w:tcBorders>
              <w:top w:val="nil"/>
              <w:left w:val="nil"/>
              <w:bottom w:val="single" w:sz="4" w:space="0" w:color="auto"/>
              <w:right w:val="single" w:sz="4" w:space="0" w:color="auto"/>
            </w:tcBorders>
            <w:shd w:val="clear" w:color="auto" w:fill="FFFFFF"/>
            <w:vAlign w:val="center"/>
            <w:hideMark/>
          </w:tcPr>
          <w:p w14:paraId="1558529F" w14:textId="77777777" w:rsidR="00BC0060" w:rsidRPr="00397433" w:rsidRDefault="00BC0060" w:rsidP="00067BCE">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Morales Saenz</w:t>
            </w:r>
          </w:p>
        </w:tc>
        <w:tc>
          <w:tcPr>
            <w:tcW w:w="1207" w:type="dxa"/>
            <w:tcBorders>
              <w:top w:val="nil"/>
              <w:left w:val="nil"/>
              <w:bottom w:val="single" w:sz="4" w:space="0" w:color="auto"/>
              <w:right w:val="single" w:sz="4" w:space="0" w:color="auto"/>
            </w:tcBorders>
            <w:noWrap/>
            <w:vAlign w:val="bottom"/>
            <w:hideMark/>
          </w:tcPr>
          <w:p w14:paraId="78665B93" w14:textId="7C26B714"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09D410FD" w14:textId="1558124E"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279C73AF"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397433" w:rsidRPr="00397433" w14:paraId="569D7EB4"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2760456C"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31</w:t>
            </w:r>
          </w:p>
        </w:tc>
        <w:tc>
          <w:tcPr>
            <w:tcW w:w="2443" w:type="dxa"/>
            <w:tcBorders>
              <w:top w:val="nil"/>
              <w:left w:val="nil"/>
              <w:bottom w:val="single" w:sz="4" w:space="0" w:color="auto"/>
              <w:right w:val="single" w:sz="4" w:space="0" w:color="auto"/>
            </w:tcBorders>
            <w:shd w:val="clear" w:color="auto" w:fill="FFFFFF"/>
            <w:vAlign w:val="center"/>
            <w:hideMark/>
          </w:tcPr>
          <w:p w14:paraId="33540791" w14:textId="77777777" w:rsidR="00BC0060" w:rsidRPr="00397433" w:rsidRDefault="00BC0060" w:rsidP="00355CDB">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Carlos Tarazona</w:t>
            </w:r>
          </w:p>
        </w:tc>
        <w:tc>
          <w:tcPr>
            <w:tcW w:w="2179" w:type="dxa"/>
            <w:tcBorders>
              <w:top w:val="nil"/>
              <w:left w:val="nil"/>
              <w:bottom w:val="single" w:sz="4" w:space="0" w:color="auto"/>
              <w:right w:val="single" w:sz="4" w:space="0" w:color="auto"/>
            </w:tcBorders>
            <w:shd w:val="clear" w:color="auto" w:fill="FFFFFF"/>
            <w:vAlign w:val="center"/>
            <w:hideMark/>
          </w:tcPr>
          <w:p w14:paraId="39B31C85" w14:textId="77777777" w:rsidR="00BC0060" w:rsidRPr="00397433" w:rsidRDefault="00BC0060" w:rsidP="00067BCE">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Esperanza</w:t>
            </w:r>
          </w:p>
        </w:tc>
        <w:tc>
          <w:tcPr>
            <w:tcW w:w="1207" w:type="dxa"/>
            <w:tcBorders>
              <w:top w:val="nil"/>
              <w:left w:val="nil"/>
              <w:bottom w:val="single" w:sz="4" w:space="0" w:color="auto"/>
              <w:right w:val="single" w:sz="4" w:space="0" w:color="auto"/>
            </w:tcBorders>
            <w:noWrap/>
            <w:vAlign w:val="bottom"/>
            <w:hideMark/>
          </w:tcPr>
          <w:p w14:paraId="2759E1CD"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33" w:type="dxa"/>
            <w:tcBorders>
              <w:top w:val="nil"/>
              <w:left w:val="nil"/>
              <w:bottom w:val="single" w:sz="4" w:space="0" w:color="auto"/>
              <w:right w:val="single" w:sz="4" w:space="0" w:color="auto"/>
            </w:tcBorders>
            <w:noWrap/>
            <w:vAlign w:val="bottom"/>
            <w:hideMark/>
          </w:tcPr>
          <w:p w14:paraId="3E3833E3" w14:textId="4B62E59C"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18" w:type="dxa"/>
            <w:tcBorders>
              <w:top w:val="nil"/>
              <w:left w:val="nil"/>
              <w:bottom w:val="single" w:sz="4" w:space="0" w:color="auto"/>
              <w:right w:val="single" w:sz="4" w:space="0" w:color="auto"/>
            </w:tcBorders>
            <w:noWrap/>
            <w:vAlign w:val="bottom"/>
            <w:hideMark/>
          </w:tcPr>
          <w:p w14:paraId="0D2B7112"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r w:rsidR="00BC0060" w:rsidRPr="00397433" w14:paraId="7589F00D" w14:textId="77777777" w:rsidTr="00397433">
        <w:trPr>
          <w:trHeight w:val="300"/>
        </w:trPr>
        <w:tc>
          <w:tcPr>
            <w:tcW w:w="671" w:type="dxa"/>
            <w:tcBorders>
              <w:top w:val="nil"/>
              <w:left w:val="single" w:sz="4" w:space="0" w:color="auto"/>
              <w:bottom w:val="single" w:sz="4" w:space="0" w:color="auto"/>
              <w:right w:val="single" w:sz="4" w:space="0" w:color="auto"/>
            </w:tcBorders>
            <w:noWrap/>
            <w:vAlign w:val="center"/>
            <w:hideMark/>
          </w:tcPr>
          <w:p w14:paraId="73129DF3" w14:textId="77777777" w:rsidR="00BC0060" w:rsidRPr="00397433" w:rsidRDefault="00BC0060">
            <w:pPr>
              <w:spacing w:after="0" w:line="240" w:lineRule="auto"/>
              <w:jc w:val="center"/>
              <w:rPr>
                <w:rFonts w:eastAsia="Times New Roman" w:cs="Arial"/>
                <w:color w:val="000000"/>
                <w:sz w:val="18"/>
                <w:szCs w:val="18"/>
                <w:lang w:eastAsia="es-CO"/>
              </w:rPr>
            </w:pPr>
            <w:r w:rsidRPr="00397433">
              <w:rPr>
                <w:rFonts w:eastAsia="Times New Roman" w:cs="Arial"/>
                <w:color w:val="000000"/>
                <w:sz w:val="18"/>
                <w:szCs w:val="18"/>
                <w:lang w:eastAsia="es-CO"/>
              </w:rPr>
              <w:t>32</w:t>
            </w:r>
          </w:p>
        </w:tc>
        <w:tc>
          <w:tcPr>
            <w:tcW w:w="2443" w:type="dxa"/>
            <w:tcBorders>
              <w:top w:val="nil"/>
              <w:left w:val="nil"/>
              <w:bottom w:val="single" w:sz="4" w:space="0" w:color="auto"/>
              <w:right w:val="single" w:sz="4" w:space="0" w:color="auto"/>
            </w:tcBorders>
            <w:shd w:val="clear" w:color="auto" w:fill="FFFFFF"/>
            <w:vAlign w:val="center"/>
            <w:hideMark/>
          </w:tcPr>
          <w:p w14:paraId="2C4255F6" w14:textId="77777777" w:rsidR="00BC0060" w:rsidRPr="00397433" w:rsidRDefault="00BC0060" w:rsidP="00355CDB">
            <w:pPr>
              <w:spacing w:after="0" w:line="240" w:lineRule="auto"/>
              <w:ind w:firstLine="0"/>
              <w:rPr>
                <w:rFonts w:eastAsia="Times New Roman" w:cs="Arial"/>
                <w:sz w:val="18"/>
                <w:szCs w:val="18"/>
                <w:lang w:eastAsia="es-CO"/>
              </w:rPr>
            </w:pPr>
            <w:r w:rsidRPr="00397433">
              <w:rPr>
                <w:rFonts w:eastAsia="Times New Roman" w:cs="Arial"/>
                <w:sz w:val="18"/>
                <w:szCs w:val="18"/>
                <w:lang w:eastAsia="es-CO"/>
              </w:rPr>
              <w:t>Katherine Hernández</w:t>
            </w:r>
          </w:p>
        </w:tc>
        <w:tc>
          <w:tcPr>
            <w:tcW w:w="2179" w:type="dxa"/>
            <w:tcBorders>
              <w:top w:val="nil"/>
              <w:left w:val="nil"/>
              <w:bottom w:val="single" w:sz="4" w:space="0" w:color="auto"/>
              <w:right w:val="single" w:sz="4" w:space="0" w:color="auto"/>
            </w:tcBorders>
            <w:noWrap/>
            <w:vAlign w:val="center"/>
            <w:hideMark/>
          </w:tcPr>
          <w:p w14:paraId="07E87A63" w14:textId="77777777" w:rsidR="00BC0060" w:rsidRPr="00397433" w:rsidRDefault="00BC0060" w:rsidP="00067BCE">
            <w:pPr>
              <w:spacing w:after="0" w:line="240" w:lineRule="auto"/>
              <w:ind w:firstLine="0"/>
              <w:rPr>
                <w:rFonts w:eastAsia="Times New Roman" w:cs="Arial"/>
                <w:color w:val="000000"/>
                <w:sz w:val="18"/>
                <w:szCs w:val="18"/>
                <w:lang w:eastAsia="es-CO"/>
              </w:rPr>
            </w:pPr>
            <w:r w:rsidRPr="00397433">
              <w:rPr>
                <w:rFonts w:eastAsia="Times New Roman" w:cs="Arial"/>
                <w:color w:val="000000"/>
                <w:sz w:val="18"/>
                <w:szCs w:val="18"/>
                <w:lang w:eastAsia="es-CO"/>
              </w:rPr>
              <w:t>Huerta Aba Muy</w:t>
            </w:r>
          </w:p>
        </w:tc>
        <w:tc>
          <w:tcPr>
            <w:tcW w:w="1207" w:type="dxa"/>
            <w:tcBorders>
              <w:top w:val="nil"/>
              <w:left w:val="nil"/>
              <w:bottom w:val="single" w:sz="4" w:space="0" w:color="auto"/>
              <w:right w:val="single" w:sz="4" w:space="0" w:color="auto"/>
            </w:tcBorders>
            <w:noWrap/>
            <w:vAlign w:val="bottom"/>
            <w:hideMark/>
          </w:tcPr>
          <w:p w14:paraId="7CABEE65" w14:textId="68A7FAFF"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X</w:t>
            </w:r>
          </w:p>
        </w:tc>
        <w:tc>
          <w:tcPr>
            <w:tcW w:w="1433" w:type="dxa"/>
            <w:tcBorders>
              <w:top w:val="nil"/>
              <w:left w:val="nil"/>
              <w:bottom w:val="single" w:sz="4" w:space="0" w:color="auto"/>
              <w:right w:val="single" w:sz="4" w:space="0" w:color="auto"/>
            </w:tcBorders>
            <w:noWrap/>
            <w:vAlign w:val="bottom"/>
            <w:hideMark/>
          </w:tcPr>
          <w:p w14:paraId="6AE58F00" w14:textId="6451ECA4" w:rsidR="00BC0060" w:rsidRPr="00397433" w:rsidRDefault="00691FD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c>
          <w:tcPr>
            <w:tcW w:w="1418" w:type="dxa"/>
            <w:tcBorders>
              <w:top w:val="nil"/>
              <w:left w:val="nil"/>
              <w:bottom w:val="single" w:sz="4" w:space="0" w:color="auto"/>
              <w:right w:val="single" w:sz="4" w:space="0" w:color="auto"/>
            </w:tcBorders>
            <w:noWrap/>
            <w:vAlign w:val="bottom"/>
            <w:hideMark/>
          </w:tcPr>
          <w:p w14:paraId="03ABEC03" w14:textId="77777777" w:rsidR="00BC0060" w:rsidRPr="00397433" w:rsidRDefault="00BC0060">
            <w:pPr>
              <w:spacing w:after="0" w:line="240" w:lineRule="auto"/>
              <w:rPr>
                <w:rFonts w:eastAsia="Times New Roman" w:cs="Arial"/>
                <w:color w:val="000000"/>
                <w:sz w:val="18"/>
                <w:szCs w:val="18"/>
                <w:lang w:eastAsia="es-CO"/>
              </w:rPr>
            </w:pPr>
            <w:r w:rsidRPr="00397433">
              <w:rPr>
                <w:rFonts w:eastAsia="Times New Roman" w:cs="Arial"/>
                <w:color w:val="000000"/>
                <w:sz w:val="18"/>
                <w:szCs w:val="18"/>
                <w:lang w:eastAsia="es-CO"/>
              </w:rPr>
              <w:t> </w:t>
            </w:r>
          </w:p>
        </w:tc>
      </w:tr>
    </w:tbl>
    <w:p w14:paraId="4852E047" w14:textId="2E72DCCF" w:rsidR="00BC0060" w:rsidRDefault="00BC0060" w:rsidP="00397433">
      <w:pPr>
        <w:spacing w:after="0" w:line="240" w:lineRule="auto"/>
        <w:ind w:firstLine="0"/>
      </w:pPr>
    </w:p>
    <w:p w14:paraId="0F127F7C" w14:textId="3454D352" w:rsidR="00BC0060" w:rsidRDefault="00BC0060" w:rsidP="00691FD0">
      <w:pPr>
        <w:spacing w:after="0"/>
        <w:ind w:left="709"/>
        <w:jc w:val="both"/>
      </w:pPr>
      <w:r>
        <w:lastRenderedPageBreak/>
        <w:t xml:space="preserve">Donde se tienen registradas en la base de datos 32 huertas entre comunitarias y familiares, actualmente se </w:t>
      </w:r>
      <w:proofErr w:type="gramStart"/>
      <w:r>
        <w:t>registra  huertas</w:t>
      </w:r>
      <w:proofErr w:type="gramEnd"/>
      <w:r>
        <w:t xml:space="preserve"> comunitarias 7 que equivalen al 22%</w:t>
      </w:r>
      <w:r w:rsidR="00567B55">
        <w:t xml:space="preserve"> </w:t>
      </w:r>
      <w:r>
        <w:t>al  y 25 familiares que equivalen al 78 % del total local.</w:t>
      </w:r>
    </w:p>
    <w:p w14:paraId="49109681" w14:textId="77777777" w:rsidR="00691FD0" w:rsidRDefault="00691FD0" w:rsidP="00691FD0">
      <w:pPr>
        <w:spacing w:after="0"/>
        <w:ind w:left="709"/>
        <w:jc w:val="both"/>
      </w:pPr>
    </w:p>
    <w:p w14:paraId="53B15E56" w14:textId="1C6ABFBD" w:rsidR="00BC0060" w:rsidRDefault="00BC0060" w:rsidP="00691FD0">
      <w:pPr>
        <w:spacing w:after="0"/>
        <w:ind w:left="709"/>
        <w:jc w:val="both"/>
      </w:pPr>
      <w:r>
        <w:t>Sin embargo se espera que este número de huertas crezca en el segundo periodo del 2020 ya que en el marco del Plan de Desarrollo Distrital 2020 – 2024 “Un Nuevo Contrato Social y Ambiental para la Bogotá del Siglo XXI” el Jardín Botánico José Celestino Mutis formuló el Proyecto 7681 “Fortalecimiento de la Agricultura Urbana y Periurbana en las Localidades Urbanas de Bogotá D.C.” el cual tiene por objetivo “Fortalecer la agricultura urbana y periurbana como practica que potencia la producción de alimentos, la gestión ambiental, el uso sostenible de los recursos naturales y la construcción del tejido social”.</w:t>
      </w:r>
    </w:p>
    <w:p w14:paraId="464A6637" w14:textId="77777777" w:rsidR="00691FD0" w:rsidRDefault="00691FD0" w:rsidP="00691FD0">
      <w:pPr>
        <w:spacing w:after="0"/>
        <w:ind w:left="709"/>
        <w:jc w:val="both"/>
      </w:pPr>
    </w:p>
    <w:p w14:paraId="567CDC1D" w14:textId="2F401A6F" w:rsidR="00BC0060" w:rsidRDefault="00BC0060" w:rsidP="00691FD0">
      <w:pPr>
        <w:spacing w:after="0"/>
        <w:ind w:left="709"/>
        <w:jc w:val="both"/>
      </w:pPr>
      <w:r>
        <w:t>El apoyo que el Jardín Botánico de Bogotá tiene previsto para la ciudadanía para el desarrollo de huertas urbanas y periurbana inicia con la oferta de un proceso de capacitación y formación en agricultura urbana y periurbana dirigido a nuevos agricultores urbanos y periurbanos o ciudadanos que cuenten con huerta y que no han recibido procesos de formación.  El proceso de formación consta de una serie de talleres virtuales y/o presenciales en los que se transfieren conocimientos y saberes sobre técnicas y tecnologías agroecológicas para la implementación de una huerta en el contexto urbano o periurbano. La segunda oferta refiere a aquellas personas que tienen una huerta ya establecida, sea esta casera o comunitaria, a través de un proceso de asistencia técnica en el que las huerteras y huerteros tienen la oportunidad de contar con un acompañamiento, seguimiento y evaluación para el mejoramiento de la producción y el buen manejo de la huerta.  Estas asistencias técnicas se tienen previsto que se realicen de forma virtual y/o presencial tanto para huertas caseras como comunitarias.</w:t>
      </w:r>
    </w:p>
    <w:p w14:paraId="4942CE9E" w14:textId="77777777" w:rsidR="00691FD0" w:rsidRDefault="00691FD0" w:rsidP="00691FD0">
      <w:pPr>
        <w:spacing w:after="0"/>
        <w:ind w:left="709"/>
        <w:jc w:val="both"/>
      </w:pPr>
    </w:p>
    <w:p w14:paraId="0F151A55" w14:textId="22FD6961" w:rsidR="00BC0060" w:rsidRDefault="00BC0060" w:rsidP="00691FD0">
      <w:pPr>
        <w:spacing w:after="0"/>
        <w:ind w:left="709"/>
        <w:jc w:val="both"/>
      </w:pPr>
      <w:r>
        <w:t>La tercera oferta consiste en el fortalecimiento de las huertas existente y que se encuentren en funcionamiento a través del suministro de materiales e insumos para el desarrollo de las huertas consistente en la entrega de sustratos, semillas, plántulas, insumos y herramientas básicas para la producción en las huertas.  En el caso de huertas casera el apoyo será un paquete básico de agricultura urbana y en el caso de huertas comunitarias el suministro de los insumos será por demanda y en proporción al tamaño de las huertas y a la participación que tenga el proceso comunitario.</w:t>
      </w:r>
    </w:p>
    <w:p w14:paraId="6EC069E1" w14:textId="77777777" w:rsidR="00691FD0" w:rsidRDefault="00691FD0" w:rsidP="00691FD0">
      <w:pPr>
        <w:spacing w:after="0"/>
        <w:ind w:left="709"/>
        <w:jc w:val="both"/>
      </w:pPr>
    </w:p>
    <w:p w14:paraId="379FE188" w14:textId="77777777" w:rsidR="00BC0060" w:rsidRDefault="00BC0060" w:rsidP="00691FD0">
      <w:pPr>
        <w:spacing w:after="0"/>
        <w:ind w:left="709"/>
        <w:jc w:val="both"/>
      </w:pPr>
      <w:r>
        <w:lastRenderedPageBreak/>
        <w:t xml:space="preserve">Estas ofertas no son excluyentes y harán parte de un proceso integral de fortalecimiento en el que se realizarán de forma complementaria acciones de formación, asistencia técnica y entrega de insumos y materiales. </w:t>
      </w:r>
    </w:p>
    <w:p w14:paraId="078DC2F3" w14:textId="77777777" w:rsidR="00BC0060" w:rsidRPr="00BC0060" w:rsidRDefault="00BC0060" w:rsidP="00BC0060">
      <w:pPr>
        <w:spacing w:after="0" w:line="240" w:lineRule="auto"/>
        <w:ind w:left="709" w:firstLine="0"/>
      </w:pPr>
    </w:p>
    <w:p w14:paraId="640A0D23" w14:textId="47A8F79C" w:rsidR="00F503F1" w:rsidRPr="00D93C66" w:rsidRDefault="00440428" w:rsidP="00F40A9E">
      <w:pPr>
        <w:pStyle w:val="Ttulo2"/>
      </w:pPr>
      <w:bookmarkStart w:id="99" w:name="_Toc57238655"/>
      <w:r w:rsidRPr="00D93C66">
        <w:t>5.</w:t>
      </w:r>
      <w:r w:rsidR="00F5441B">
        <w:t xml:space="preserve">3 </w:t>
      </w:r>
      <w:r w:rsidR="00272AC8" w:rsidRPr="00D93C66">
        <w:t xml:space="preserve"> </w:t>
      </w:r>
      <w:r w:rsidRPr="00D93C66">
        <w:t xml:space="preserve"> Empresas </w:t>
      </w:r>
      <w:r w:rsidR="00272AC8" w:rsidRPr="00D93C66">
        <w:t>p</w:t>
      </w:r>
      <w:r w:rsidRPr="00D93C66">
        <w:t>articipantes en el Programa de Gestión Ambiental Empresarial</w:t>
      </w:r>
      <w:r w:rsidR="00272AC8" w:rsidRPr="00D93C66">
        <w:t>.</w:t>
      </w:r>
      <w:bookmarkEnd w:id="99"/>
    </w:p>
    <w:p w14:paraId="3FF5412A" w14:textId="270BECF4" w:rsidR="00272AC8" w:rsidRDefault="00272AC8" w:rsidP="00D93C66">
      <w:pPr>
        <w:pBdr>
          <w:top w:val="nil"/>
          <w:left w:val="nil"/>
          <w:bottom w:val="nil"/>
          <w:right w:val="nil"/>
          <w:between w:val="nil"/>
        </w:pBdr>
        <w:ind w:left="709"/>
        <w:jc w:val="both"/>
        <w:rPr>
          <w:rFonts w:eastAsia="Arial" w:cs="Arial"/>
          <w:noProof/>
        </w:rPr>
      </w:pPr>
      <w:r w:rsidRPr="00272AC8">
        <w:rPr>
          <w:rFonts w:eastAsia="Arial" w:cs="Arial"/>
        </w:rPr>
        <w:t xml:space="preserve">El Programa de Gestión Ambiental Empresarial de la Secretaría Distrital de Ambiente es una herramienta de acompañamiento gratuito para fortalecer la autogestión y autorregulación ambiental de las empresas en Bogotá que desean mejorar su gestión y desempeño ambiental con la implantación de estrategias ambientales, como la aplicación de producción más limpia en los procesos, buenas prácticas </w:t>
      </w:r>
      <w:proofErr w:type="gramStart"/>
      <w:r w:rsidRPr="00272AC8">
        <w:rPr>
          <w:rFonts w:eastAsia="Arial" w:cs="Arial"/>
        </w:rPr>
        <w:t>que</w:t>
      </w:r>
      <w:proofErr w:type="gramEnd"/>
      <w:r w:rsidRPr="00272AC8">
        <w:rPr>
          <w:rFonts w:eastAsia="Arial" w:cs="Arial"/>
        </w:rPr>
        <w:t xml:space="preserve"> entre otras, incrementan la competitividad y productividad de las empresas vinculadas. Este programa se desarrolla en todas las localidades del Distrito Capital, exceptuando la localidad de Sumapaz que es netamente rural.</w:t>
      </w:r>
      <w:r w:rsidR="00F5441B" w:rsidRPr="00F5441B">
        <w:rPr>
          <w:rFonts w:eastAsia="Arial" w:cs="Arial"/>
          <w:noProof/>
        </w:rPr>
        <w:t xml:space="preserve"> </w:t>
      </w:r>
    </w:p>
    <w:p w14:paraId="61EF6A86" w14:textId="0F8E0152" w:rsidR="00516DE8" w:rsidRDefault="00C37D33" w:rsidP="00D93C66">
      <w:pPr>
        <w:pBdr>
          <w:top w:val="nil"/>
          <w:left w:val="nil"/>
          <w:bottom w:val="nil"/>
          <w:right w:val="nil"/>
          <w:between w:val="nil"/>
        </w:pBdr>
        <w:ind w:left="709"/>
        <w:jc w:val="both"/>
        <w:rPr>
          <w:rFonts w:eastAsia="Arial" w:cs="Arial"/>
        </w:rPr>
      </w:pPr>
      <w:r>
        <w:rPr>
          <w:noProof/>
        </w:rPr>
        <mc:AlternateContent>
          <mc:Choice Requires="wps">
            <w:drawing>
              <wp:anchor distT="0" distB="0" distL="114300" distR="114300" simplePos="0" relativeHeight="251706368" behindDoc="0" locked="0" layoutInCell="1" allowOverlap="1" wp14:anchorId="3B8BF82B" wp14:editId="6D58CC1F">
                <wp:simplePos x="0" y="0"/>
                <wp:positionH relativeFrom="column">
                  <wp:posOffset>547370</wp:posOffset>
                </wp:positionH>
                <wp:positionV relativeFrom="paragraph">
                  <wp:posOffset>244475</wp:posOffset>
                </wp:positionV>
                <wp:extent cx="5099685" cy="228600"/>
                <wp:effectExtent l="0" t="0" r="5715" b="0"/>
                <wp:wrapSquare wrapText="bothSides"/>
                <wp:docPr id="25" name="Cuadro de texto 25"/>
                <wp:cNvGraphicFramePr/>
                <a:graphic xmlns:a="http://schemas.openxmlformats.org/drawingml/2006/main">
                  <a:graphicData uri="http://schemas.microsoft.com/office/word/2010/wordprocessingShape">
                    <wps:wsp>
                      <wps:cNvSpPr txBox="1"/>
                      <wps:spPr>
                        <a:xfrm>
                          <a:off x="0" y="0"/>
                          <a:ext cx="5099685" cy="228600"/>
                        </a:xfrm>
                        <a:prstGeom prst="rect">
                          <a:avLst/>
                        </a:prstGeom>
                        <a:solidFill>
                          <a:prstClr val="white"/>
                        </a:solidFill>
                        <a:ln>
                          <a:noFill/>
                        </a:ln>
                      </wps:spPr>
                      <wps:txbx>
                        <w:txbxContent>
                          <w:p w14:paraId="3CD410F7" w14:textId="6B00C141" w:rsidR="00ED57B1" w:rsidRPr="00516DE8" w:rsidRDefault="00ED57B1" w:rsidP="00516DE8">
                            <w:pPr>
                              <w:pStyle w:val="Descripcin"/>
                              <w:spacing w:after="0"/>
                              <w:rPr>
                                <w:rFonts w:eastAsia="Arial" w:cs="Arial"/>
                                <w:noProof/>
                                <w:color w:val="auto"/>
                              </w:rPr>
                            </w:pPr>
                            <w:bookmarkStart w:id="100" w:name="_Toc57227500"/>
                            <w:r w:rsidRPr="00516DE8">
                              <w:rPr>
                                <w:color w:val="auto"/>
                              </w:rPr>
                              <w:t xml:space="preserve">Tabla </w:t>
                            </w:r>
                            <w:r w:rsidRPr="00516DE8">
                              <w:rPr>
                                <w:color w:val="auto"/>
                              </w:rPr>
                              <w:fldChar w:fldCharType="begin"/>
                            </w:r>
                            <w:r w:rsidRPr="00516DE8">
                              <w:rPr>
                                <w:color w:val="auto"/>
                              </w:rPr>
                              <w:instrText xml:space="preserve"> SEQ Tabla \* ARABIC </w:instrText>
                            </w:r>
                            <w:r w:rsidRPr="00516DE8">
                              <w:rPr>
                                <w:color w:val="auto"/>
                              </w:rPr>
                              <w:fldChar w:fldCharType="separate"/>
                            </w:r>
                            <w:r>
                              <w:rPr>
                                <w:noProof/>
                                <w:color w:val="auto"/>
                              </w:rPr>
                              <w:t>15</w:t>
                            </w:r>
                            <w:r w:rsidRPr="00516DE8">
                              <w:rPr>
                                <w:color w:val="auto"/>
                              </w:rPr>
                              <w:fldChar w:fldCharType="end"/>
                            </w:r>
                            <w:r w:rsidRPr="00516DE8">
                              <w:rPr>
                                <w:color w:val="auto"/>
                              </w:rPr>
                              <w:t>. Número de empresas participantes en el programa de Gestión Ambiental Empresarial</w:t>
                            </w:r>
                            <w:bookmarkEnd w:id="10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8BF82B" id="Cuadro de texto 25" o:spid="_x0000_s1041" type="#_x0000_t202" style="position:absolute;left:0;text-align:left;margin-left:43.1pt;margin-top:19.25pt;width:401.55pt;height:18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" stroked="f">
                <v:textbox inset="0,0,0,0">
                  <w:txbxContent>
                    <w:p w14:paraId="3CD410F7" w14:textId="6B00C141" w:rsidR="00ED57B1" w:rsidRPr="00516DE8" w:rsidRDefault="00ED57B1" w:rsidP="00516DE8">
                      <w:pPr>
                        <w:pStyle w:val="Descripcin"/>
                        <w:spacing w:after="0"/>
                        <w:rPr>
                          <w:rFonts w:eastAsia="Arial" w:cs="Arial"/>
                          <w:noProof/>
                          <w:color w:val="auto"/>
                        </w:rPr>
                      </w:pPr>
                      <w:bookmarkStart w:id="108" w:name="_Toc57227500"/>
                      <w:r w:rsidRPr="00516DE8">
                        <w:rPr>
                          <w:color w:val="auto"/>
                        </w:rPr>
                        <w:t xml:space="preserve">Tabla </w:t>
                      </w:r>
                      <w:r w:rsidRPr="00516DE8">
                        <w:rPr>
                          <w:color w:val="auto"/>
                        </w:rPr>
                        <w:fldChar w:fldCharType="begin"/>
                      </w:r>
                      <w:r w:rsidRPr="00516DE8">
                        <w:rPr>
                          <w:color w:val="auto"/>
                        </w:rPr>
                        <w:instrText xml:space="preserve"> SEQ Tabla \* ARABIC </w:instrText>
                      </w:r>
                      <w:r w:rsidRPr="00516DE8">
                        <w:rPr>
                          <w:color w:val="auto"/>
                        </w:rPr>
                        <w:fldChar w:fldCharType="separate"/>
                      </w:r>
                      <w:r>
                        <w:rPr>
                          <w:noProof/>
                          <w:color w:val="auto"/>
                        </w:rPr>
                        <w:t>15</w:t>
                      </w:r>
                      <w:r w:rsidRPr="00516DE8">
                        <w:rPr>
                          <w:color w:val="auto"/>
                        </w:rPr>
                        <w:fldChar w:fldCharType="end"/>
                      </w:r>
                      <w:r w:rsidRPr="00516DE8">
                        <w:rPr>
                          <w:color w:val="auto"/>
                        </w:rPr>
                        <w:t>. Número de empresas participantes en el programa de Gestión Ambiental Empresarial</w:t>
                      </w:r>
                      <w:bookmarkEnd w:id="108"/>
                    </w:p>
                  </w:txbxContent>
                </v:textbox>
                <w10:wrap type="square"/>
              </v:shape>
            </w:pict>
          </mc:Fallback>
        </mc:AlternateContent>
      </w:r>
    </w:p>
    <w:p w14:paraId="24F38950" w14:textId="0DC749CB" w:rsidR="00D93C66" w:rsidRPr="00272AC8" w:rsidRDefault="00C37D33" w:rsidP="00D93C66">
      <w:pPr>
        <w:pBdr>
          <w:top w:val="nil"/>
          <w:left w:val="nil"/>
          <w:bottom w:val="nil"/>
          <w:right w:val="nil"/>
          <w:between w:val="nil"/>
        </w:pBdr>
        <w:ind w:left="709" w:firstLine="0"/>
        <w:jc w:val="both"/>
        <w:rPr>
          <w:rFonts w:eastAsia="Arial" w:cs="Arial"/>
        </w:rPr>
      </w:pPr>
      <w:r>
        <w:rPr>
          <w:rFonts w:eastAsia="Arial" w:cs="Arial"/>
          <w:noProof/>
        </w:rPr>
        <w:drawing>
          <wp:anchor distT="0" distB="0" distL="114300" distR="114300" simplePos="0" relativeHeight="251676672" behindDoc="0" locked="0" layoutInCell="1" allowOverlap="1" wp14:anchorId="42A2E30B" wp14:editId="39AB6DA6">
            <wp:simplePos x="0" y="0"/>
            <wp:positionH relativeFrom="margin">
              <wp:posOffset>547370</wp:posOffset>
            </wp:positionH>
            <wp:positionV relativeFrom="margin">
              <wp:posOffset>3823970</wp:posOffset>
            </wp:positionV>
            <wp:extent cx="5099685" cy="3543300"/>
            <wp:effectExtent l="0" t="0" r="5715"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99685" cy="3543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05CD9F" w14:textId="1FE2C2C5" w:rsidR="00F5441B" w:rsidRDefault="00F5441B" w:rsidP="00D93C66">
      <w:pPr>
        <w:pStyle w:val="Prrafodelista"/>
        <w:pBdr>
          <w:top w:val="nil"/>
          <w:left w:val="nil"/>
          <w:bottom w:val="nil"/>
          <w:right w:val="nil"/>
          <w:between w:val="nil"/>
        </w:pBdr>
        <w:spacing w:after="0" w:line="240" w:lineRule="auto"/>
        <w:ind w:left="426" w:firstLine="0"/>
        <w:jc w:val="center"/>
        <w:rPr>
          <w:rFonts w:eastAsia="Arial" w:cs="Arial"/>
          <w:sz w:val="18"/>
          <w:szCs w:val="18"/>
        </w:rPr>
      </w:pPr>
    </w:p>
    <w:p w14:paraId="1E87A514" w14:textId="50B8A5E4" w:rsidR="00F5441B" w:rsidRDefault="00F5441B" w:rsidP="00D93C66">
      <w:pPr>
        <w:pStyle w:val="Prrafodelista"/>
        <w:pBdr>
          <w:top w:val="nil"/>
          <w:left w:val="nil"/>
          <w:bottom w:val="nil"/>
          <w:right w:val="nil"/>
          <w:between w:val="nil"/>
        </w:pBdr>
        <w:spacing w:after="0" w:line="240" w:lineRule="auto"/>
        <w:ind w:left="426" w:firstLine="0"/>
        <w:jc w:val="center"/>
        <w:rPr>
          <w:rFonts w:eastAsia="Arial" w:cs="Arial"/>
          <w:sz w:val="18"/>
          <w:szCs w:val="18"/>
        </w:rPr>
      </w:pPr>
    </w:p>
    <w:p w14:paraId="7F6C013B" w14:textId="77777777" w:rsidR="00F5441B" w:rsidRDefault="00F5441B" w:rsidP="00D93C66">
      <w:pPr>
        <w:pStyle w:val="Prrafodelista"/>
        <w:pBdr>
          <w:top w:val="nil"/>
          <w:left w:val="nil"/>
          <w:bottom w:val="nil"/>
          <w:right w:val="nil"/>
          <w:between w:val="nil"/>
        </w:pBdr>
        <w:spacing w:after="0" w:line="240" w:lineRule="auto"/>
        <w:ind w:left="426" w:firstLine="0"/>
        <w:jc w:val="center"/>
        <w:rPr>
          <w:rFonts w:eastAsia="Arial" w:cs="Arial"/>
          <w:sz w:val="18"/>
          <w:szCs w:val="18"/>
        </w:rPr>
      </w:pPr>
    </w:p>
    <w:p w14:paraId="37AD8135" w14:textId="77777777" w:rsidR="00F5441B" w:rsidRDefault="00F5441B" w:rsidP="00D93C66">
      <w:pPr>
        <w:pStyle w:val="Prrafodelista"/>
        <w:pBdr>
          <w:top w:val="nil"/>
          <w:left w:val="nil"/>
          <w:bottom w:val="nil"/>
          <w:right w:val="nil"/>
          <w:between w:val="nil"/>
        </w:pBdr>
        <w:spacing w:after="0" w:line="240" w:lineRule="auto"/>
        <w:ind w:left="426" w:firstLine="0"/>
        <w:jc w:val="center"/>
        <w:rPr>
          <w:rFonts w:eastAsia="Arial" w:cs="Arial"/>
          <w:sz w:val="18"/>
          <w:szCs w:val="18"/>
        </w:rPr>
      </w:pPr>
    </w:p>
    <w:p w14:paraId="13E18D4B" w14:textId="77777777" w:rsidR="00F5441B" w:rsidRDefault="00F5441B" w:rsidP="00D93C66">
      <w:pPr>
        <w:pStyle w:val="Prrafodelista"/>
        <w:pBdr>
          <w:top w:val="nil"/>
          <w:left w:val="nil"/>
          <w:bottom w:val="nil"/>
          <w:right w:val="nil"/>
          <w:between w:val="nil"/>
        </w:pBdr>
        <w:spacing w:after="0" w:line="240" w:lineRule="auto"/>
        <w:ind w:left="426" w:firstLine="0"/>
        <w:jc w:val="center"/>
        <w:rPr>
          <w:rFonts w:eastAsia="Arial" w:cs="Arial"/>
          <w:sz w:val="18"/>
          <w:szCs w:val="18"/>
        </w:rPr>
      </w:pPr>
    </w:p>
    <w:p w14:paraId="569419E4" w14:textId="77777777" w:rsidR="00F5441B" w:rsidRDefault="00F5441B" w:rsidP="00D93C66">
      <w:pPr>
        <w:pStyle w:val="Prrafodelista"/>
        <w:pBdr>
          <w:top w:val="nil"/>
          <w:left w:val="nil"/>
          <w:bottom w:val="nil"/>
          <w:right w:val="nil"/>
          <w:between w:val="nil"/>
        </w:pBdr>
        <w:spacing w:after="0" w:line="240" w:lineRule="auto"/>
        <w:ind w:left="426" w:firstLine="0"/>
        <w:jc w:val="center"/>
        <w:rPr>
          <w:rFonts w:eastAsia="Arial" w:cs="Arial"/>
          <w:sz w:val="18"/>
          <w:szCs w:val="18"/>
        </w:rPr>
      </w:pPr>
    </w:p>
    <w:p w14:paraId="71BCD6AE" w14:textId="77777777" w:rsidR="00F5441B" w:rsidRDefault="00F5441B" w:rsidP="00D93C66">
      <w:pPr>
        <w:pStyle w:val="Prrafodelista"/>
        <w:pBdr>
          <w:top w:val="nil"/>
          <w:left w:val="nil"/>
          <w:bottom w:val="nil"/>
          <w:right w:val="nil"/>
          <w:between w:val="nil"/>
        </w:pBdr>
        <w:spacing w:after="0" w:line="240" w:lineRule="auto"/>
        <w:ind w:left="426" w:firstLine="0"/>
        <w:jc w:val="center"/>
        <w:rPr>
          <w:rFonts w:eastAsia="Arial" w:cs="Arial"/>
          <w:sz w:val="18"/>
          <w:szCs w:val="18"/>
        </w:rPr>
      </w:pPr>
    </w:p>
    <w:p w14:paraId="268ADF72" w14:textId="77777777" w:rsidR="00F5441B" w:rsidRDefault="00F5441B" w:rsidP="00D93C66">
      <w:pPr>
        <w:pStyle w:val="Prrafodelista"/>
        <w:pBdr>
          <w:top w:val="nil"/>
          <w:left w:val="nil"/>
          <w:bottom w:val="nil"/>
          <w:right w:val="nil"/>
          <w:between w:val="nil"/>
        </w:pBdr>
        <w:spacing w:after="0" w:line="240" w:lineRule="auto"/>
        <w:ind w:left="426" w:firstLine="0"/>
        <w:jc w:val="center"/>
        <w:rPr>
          <w:rFonts w:eastAsia="Arial" w:cs="Arial"/>
          <w:sz w:val="18"/>
          <w:szCs w:val="18"/>
        </w:rPr>
      </w:pPr>
    </w:p>
    <w:p w14:paraId="0F33CF46" w14:textId="77777777" w:rsidR="00F5441B" w:rsidRDefault="00F5441B" w:rsidP="00D93C66">
      <w:pPr>
        <w:pStyle w:val="Prrafodelista"/>
        <w:pBdr>
          <w:top w:val="nil"/>
          <w:left w:val="nil"/>
          <w:bottom w:val="nil"/>
          <w:right w:val="nil"/>
          <w:between w:val="nil"/>
        </w:pBdr>
        <w:spacing w:after="0" w:line="240" w:lineRule="auto"/>
        <w:ind w:left="426" w:firstLine="0"/>
        <w:jc w:val="center"/>
        <w:rPr>
          <w:rFonts w:eastAsia="Arial" w:cs="Arial"/>
          <w:sz w:val="18"/>
          <w:szCs w:val="18"/>
        </w:rPr>
      </w:pPr>
    </w:p>
    <w:p w14:paraId="05AC7C67" w14:textId="77777777" w:rsidR="00F5441B" w:rsidRDefault="00F5441B" w:rsidP="00D93C66">
      <w:pPr>
        <w:pStyle w:val="Prrafodelista"/>
        <w:pBdr>
          <w:top w:val="nil"/>
          <w:left w:val="nil"/>
          <w:bottom w:val="nil"/>
          <w:right w:val="nil"/>
          <w:between w:val="nil"/>
        </w:pBdr>
        <w:spacing w:after="0" w:line="240" w:lineRule="auto"/>
        <w:ind w:left="426" w:firstLine="0"/>
        <w:jc w:val="center"/>
        <w:rPr>
          <w:rFonts w:eastAsia="Arial" w:cs="Arial"/>
          <w:sz w:val="18"/>
          <w:szCs w:val="18"/>
        </w:rPr>
      </w:pPr>
    </w:p>
    <w:p w14:paraId="72CB8915" w14:textId="77777777" w:rsidR="00F5441B" w:rsidRDefault="00F5441B" w:rsidP="00D93C66">
      <w:pPr>
        <w:pStyle w:val="Prrafodelista"/>
        <w:pBdr>
          <w:top w:val="nil"/>
          <w:left w:val="nil"/>
          <w:bottom w:val="nil"/>
          <w:right w:val="nil"/>
          <w:between w:val="nil"/>
        </w:pBdr>
        <w:spacing w:after="0" w:line="240" w:lineRule="auto"/>
        <w:ind w:left="426" w:firstLine="0"/>
        <w:jc w:val="center"/>
        <w:rPr>
          <w:rFonts w:eastAsia="Arial" w:cs="Arial"/>
          <w:sz w:val="18"/>
          <w:szCs w:val="18"/>
        </w:rPr>
      </w:pPr>
    </w:p>
    <w:p w14:paraId="71CF46E2" w14:textId="77777777" w:rsidR="00F5441B" w:rsidRDefault="00F5441B" w:rsidP="00D93C66">
      <w:pPr>
        <w:pStyle w:val="Prrafodelista"/>
        <w:pBdr>
          <w:top w:val="nil"/>
          <w:left w:val="nil"/>
          <w:bottom w:val="nil"/>
          <w:right w:val="nil"/>
          <w:between w:val="nil"/>
        </w:pBdr>
        <w:spacing w:after="0" w:line="240" w:lineRule="auto"/>
        <w:ind w:left="426" w:firstLine="0"/>
        <w:jc w:val="center"/>
        <w:rPr>
          <w:rFonts w:eastAsia="Arial" w:cs="Arial"/>
          <w:sz w:val="18"/>
          <w:szCs w:val="18"/>
        </w:rPr>
      </w:pPr>
    </w:p>
    <w:p w14:paraId="38BDE45B" w14:textId="77777777" w:rsidR="00F5441B" w:rsidRDefault="00F5441B" w:rsidP="00D93C66">
      <w:pPr>
        <w:pStyle w:val="Prrafodelista"/>
        <w:pBdr>
          <w:top w:val="nil"/>
          <w:left w:val="nil"/>
          <w:bottom w:val="nil"/>
          <w:right w:val="nil"/>
          <w:between w:val="nil"/>
        </w:pBdr>
        <w:spacing w:after="0" w:line="240" w:lineRule="auto"/>
        <w:ind w:left="426" w:firstLine="0"/>
        <w:jc w:val="center"/>
        <w:rPr>
          <w:rFonts w:eastAsia="Arial" w:cs="Arial"/>
          <w:sz w:val="18"/>
          <w:szCs w:val="18"/>
        </w:rPr>
      </w:pPr>
    </w:p>
    <w:p w14:paraId="3E2387E6" w14:textId="77777777" w:rsidR="00F5441B" w:rsidRDefault="00F5441B" w:rsidP="00D93C66">
      <w:pPr>
        <w:pStyle w:val="Prrafodelista"/>
        <w:pBdr>
          <w:top w:val="nil"/>
          <w:left w:val="nil"/>
          <w:bottom w:val="nil"/>
          <w:right w:val="nil"/>
          <w:between w:val="nil"/>
        </w:pBdr>
        <w:spacing w:after="0" w:line="240" w:lineRule="auto"/>
        <w:ind w:left="426" w:firstLine="0"/>
        <w:jc w:val="center"/>
        <w:rPr>
          <w:rFonts w:eastAsia="Arial" w:cs="Arial"/>
          <w:sz w:val="18"/>
          <w:szCs w:val="18"/>
        </w:rPr>
      </w:pPr>
    </w:p>
    <w:p w14:paraId="3C8C7B43" w14:textId="77777777" w:rsidR="00F5441B" w:rsidRDefault="00F5441B" w:rsidP="00D93C66">
      <w:pPr>
        <w:pStyle w:val="Prrafodelista"/>
        <w:pBdr>
          <w:top w:val="nil"/>
          <w:left w:val="nil"/>
          <w:bottom w:val="nil"/>
          <w:right w:val="nil"/>
          <w:between w:val="nil"/>
        </w:pBdr>
        <w:spacing w:after="0" w:line="240" w:lineRule="auto"/>
        <w:ind w:left="426" w:firstLine="0"/>
        <w:jc w:val="center"/>
        <w:rPr>
          <w:rFonts w:eastAsia="Arial" w:cs="Arial"/>
          <w:sz w:val="18"/>
          <w:szCs w:val="18"/>
        </w:rPr>
      </w:pPr>
    </w:p>
    <w:p w14:paraId="60468723" w14:textId="77777777" w:rsidR="00F5441B" w:rsidRDefault="00F5441B" w:rsidP="00D93C66">
      <w:pPr>
        <w:pStyle w:val="Prrafodelista"/>
        <w:pBdr>
          <w:top w:val="nil"/>
          <w:left w:val="nil"/>
          <w:bottom w:val="nil"/>
          <w:right w:val="nil"/>
          <w:between w:val="nil"/>
        </w:pBdr>
        <w:spacing w:after="0" w:line="240" w:lineRule="auto"/>
        <w:ind w:left="426" w:firstLine="0"/>
        <w:jc w:val="center"/>
        <w:rPr>
          <w:rFonts w:eastAsia="Arial" w:cs="Arial"/>
          <w:sz w:val="18"/>
          <w:szCs w:val="18"/>
        </w:rPr>
      </w:pPr>
    </w:p>
    <w:p w14:paraId="0546AE1F" w14:textId="77777777" w:rsidR="00F5441B" w:rsidRDefault="00F5441B" w:rsidP="00D93C66">
      <w:pPr>
        <w:pStyle w:val="Prrafodelista"/>
        <w:pBdr>
          <w:top w:val="nil"/>
          <w:left w:val="nil"/>
          <w:bottom w:val="nil"/>
          <w:right w:val="nil"/>
          <w:between w:val="nil"/>
        </w:pBdr>
        <w:spacing w:after="0" w:line="240" w:lineRule="auto"/>
        <w:ind w:left="426" w:firstLine="0"/>
        <w:jc w:val="center"/>
        <w:rPr>
          <w:rFonts w:eastAsia="Arial" w:cs="Arial"/>
          <w:sz w:val="18"/>
          <w:szCs w:val="18"/>
        </w:rPr>
      </w:pPr>
    </w:p>
    <w:p w14:paraId="265892E8" w14:textId="77777777" w:rsidR="00F5441B" w:rsidRDefault="00F5441B" w:rsidP="00D93C66">
      <w:pPr>
        <w:pStyle w:val="Prrafodelista"/>
        <w:pBdr>
          <w:top w:val="nil"/>
          <w:left w:val="nil"/>
          <w:bottom w:val="nil"/>
          <w:right w:val="nil"/>
          <w:between w:val="nil"/>
        </w:pBdr>
        <w:spacing w:after="0" w:line="240" w:lineRule="auto"/>
        <w:ind w:left="426" w:firstLine="0"/>
        <w:jc w:val="center"/>
        <w:rPr>
          <w:rFonts w:eastAsia="Arial" w:cs="Arial"/>
          <w:sz w:val="18"/>
          <w:szCs w:val="18"/>
        </w:rPr>
      </w:pPr>
    </w:p>
    <w:p w14:paraId="76B126C3" w14:textId="77777777" w:rsidR="00F5441B" w:rsidRDefault="00F5441B" w:rsidP="00D93C66">
      <w:pPr>
        <w:pStyle w:val="Prrafodelista"/>
        <w:pBdr>
          <w:top w:val="nil"/>
          <w:left w:val="nil"/>
          <w:bottom w:val="nil"/>
          <w:right w:val="nil"/>
          <w:between w:val="nil"/>
        </w:pBdr>
        <w:spacing w:after="0" w:line="240" w:lineRule="auto"/>
        <w:ind w:left="426" w:firstLine="0"/>
        <w:jc w:val="center"/>
        <w:rPr>
          <w:rFonts w:eastAsia="Arial" w:cs="Arial"/>
          <w:sz w:val="18"/>
          <w:szCs w:val="18"/>
        </w:rPr>
      </w:pPr>
    </w:p>
    <w:p w14:paraId="62DBC7ED" w14:textId="77777777" w:rsidR="00C10171" w:rsidRDefault="00C10171" w:rsidP="00D93C66">
      <w:pPr>
        <w:pStyle w:val="Prrafodelista"/>
        <w:pBdr>
          <w:top w:val="nil"/>
          <w:left w:val="nil"/>
          <w:bottom w:val="nil"/>
          <w:right w:val="nil"/>
          <w:between w:val="nil"/>
        </w:pBdr>
        <w:spacing w:after="0" w:line="240" w:lineRule="auto"/>
        <w:ind w:left="426" w:firstLine="0"/>
        <w:jc w:val="center"/>
        <w:rPr>
          <w:rFonts w:eastAsia="Arial" w:cs="Arial"/>
          <w:sz w:val="18"/>
          <w:szCs w:val="18"/>
        </w:rPr>
      </w:pPr>
    </w:p>
    <w:p w14:paraId="05AE60DC" w14:textId="77777777" w:rsidR="00C10171" w:rsidRDefault="00C10171" w:rsidP="00D93C66">
      <w:pPr>
        <w:pStyle w:val="Prrafodelista"/>
        <w:pBdr>
          <w:top w:val="nil"/>
          <w:left w:val="nil"/>
          <w:bottom w:val="nil"/>
          <w:right w:val="nil"/>
          <w:between w:val="nil"/>
        </w:pBdr>
        <w:spacing w:after="0" w:line="240" w:lineRule="auto"/>
        <w:ind w:left="426" w:firstLine="0"/>
        <w:jc w:val="center"/>
        <w:rPr>
          <w:rFonts w:eastAsia="Arial" w:cs="Arial"/>
          <w:sz w:val="18"/>
          <w:szCs w:val="18"/>
        </w:rPr>
      </w:pPr>
    </w:p>
    <w:p w14:paraId="12AE12F3" w14:textId="77777777" w:rsidR="00C10171" w:rsidRDefault="00C10171" w:rsidP="00D93C66">
      <w:pPr>
        <w:pStyle w:val="Prrafodelista"/>
        <w:pBdr>
          <w:top w:val="nil"/>
          <w:left w:val="nil"/>
          <w:bottom w:val="nil"/>
          <w:right w:val="nil"/>
          <w:between w:val="nil"/>
        </w:pBdr>
        <w:spacing w:after="0" w:line="240" w:lineRule="auto"/>
        <w:ind w:left="426" w:firstLine="0"/>
        <w:jc w:val="center"/>
        <w:rPr>
          <w:rFonts w:eastAsia="Arial" w:cs="Arial"/>
          <w:sz w:val="18"/>
          <w:szCs w:val="18"/>
        </w:rPr>
      </w:pPr>
    </w:p>
    <w:p w14:paraId="2BB0C001" w14:textId="77777777" w:rsidR="00C10171" w:rsidRPr="00516DE8" w:rsidRDefault="00C10171" w:rsidP="00D93C66">
      <w:pPr>
        <w:pStyle w:val="Prrafodelista"/>
        <w:pBdr>
          <w:top w:val="nil"/>
          <w:left w:val="nil"/>
          <w:bottom w:val="nil"/>
          <w:right w:val="nil"/>
          <w:between w:val="nil"/>
        </w:pBdr>
        <w:spacing w:after="0" w:line="240" w:lineRule="auto"/>
        <w:ind w:left="426" w:firstLine="0"/>
        <w:jc w:val="center"/>
        <w:rPr>
          <w:rFonts w:eastAsia="Arial" w:cs="Arial"/>
          <w:i/>
          <w:iCs/>
          <w:sz w:val="18"/>
          <w:szCs w:val="18"/>
        </w:rPr>
      </w:pPr>
    </w:p>
    <w:p w14:paraId="508AC5CC" w14:textId="716BB1C8" w:rsidR="00D93C66" w:rsidRDefault="00D93C66" w:rsidP="00D93C66">
      <w:pPr>
        <w:pStyle w:val="Prrafodelista"/>
        <w:pBdr>
          <w:top w:val="nil"/>
          <w:left w:val="nil"/>
          <w:bottom w:val="nil"/>
          <w:right w:val="nil"/>
          <w:between w:val="nil"/>
        </w:pBdr>
        <w:spacing w:after="0" w:line="240" w:lineRule="auto"/>
        <w:ind w:left="426" w:firstLine="0"/>
        <w:jc w:val="center"/>
        <w:rPr>
          <w:rFonts w:eastAsia="Arial" w:cs="Arial"/>
        </w:rPr>
      </w:pPr>
      <w:r w:rsidRPr="00516DE8">
        <w:rPr>
          <w:rFonts w:eastAsia="Arial" w:cs="Arial"/>
          <w:i/>
          <w:iCs/>
          <w:sz w:val="18"/>
          <w:szCs w:val="18"/>
        </w:rPr>
        <w:t>Fuente: Observatorio Ambiental de Bogotá.</w:t>
      </w:r>
    </w:p>
    <w:p w14:paraId="52666E06" w14:textId="77777777" w:rsidR="0087017A" w:rsidRDefault="0087017A" w:rsidP="00C61BA6">
      <w:pPr>
        <w:pBdr>
          <w:top w:val="nil"/>
          <w:left w:val="nil"/>
          <w:bottom w:val="nil"/>
          <w:right w:val="nil"/>
          <w:between w:val="nil"/>
        </w:pBdr>
        <w:jc w:val="both"/>
        <w:rPr>
          <w:rFonts w:eastAsia="Arial" w:cs="Arial"/>
        </w:rPr>
      </w:pPr>
    </w:p>
    <w:p w14:paraId="3E97BD5D" w14:textId="77777777" w:rsidR="0087017A" w:rsidRDefault="0087017A" w:rsidP="00C61BA6">
      <w:pPr>
        <w:pBdr>
          <w:top w:val="nil"/>
          <w:left w:val="nil"/>
          <w:bottom w:val="nil"/>
          <w:right w:val="nil"/>
          <w:between w:val="nil"/>
        </w:pBdr>
        <w:jc w:val="both"/>
        <w:rPr>
          <w:rFonts w:eastAsia="Arial" w:cs="Arial"/>
        </w:rPr>
      </w:pPr>
    </w:p>
    <w:p w14:paraId="1A03B116" w14:textId="67596C69" w:rsidR="0087017A" w:rsidRPr="002B3F9E" w:rsidRDefault="002B3F9E" w:rsidP="00F40A9E">
      <w:pPr>
        <w:pStyle w:val="Ttulo2"/>
        <w:ind w:firstLine="0"/>
      </w:pPr>
      <w:bookmarkStart w:id="101" w:name="_Toc57238656"/>
      <w:r w:rsidRPr="002B3F9E">
        <w:lastRenderedPageBreak/>
        <w:t xml:space="preserve">5.4 </w:t>
      </w:r>
      <w:r w:rsidR="00F5441B" w:rsidRPr="002B3F9E">
        <w:t>Empresas Forestales Registradas Ante la Secretaría Distrital de Ambiente</w:t>
      </w:r>
      <w:r w:rsidRPr="002B3F9E">
        <w:t>.</w:t>
      </w:r>
      <w:bookmarkEnd w:id="101"/>
    </w:p>
    <w:p w14:paraId="36F2B5D3" w14:textId="7AFCC8D0" w:rsidR="002B3F9E" w:rsidRDefault="002B3F9E" w:rsidP="00C61BA6">
      <w:pPr>
        <w:pBdr>
          <w:top w:val="nil"/>
          <w:left w:val="nil"/>
          <w:bottom w:val="nil"/>
          <w:right w:val="nil"/>
          <w:between w:val="nil"/>
        </w:pBdr>
        <w:jc w:val="both"/>
        <w:rPr>
          <w:rFonts w:eastAsia="Arial" w:cs="Arial"/>
        </w:rPr>
      </w:pPr>
      <w:proofErr w:type="gramStart"/>
      <w:r w:rsidRPr="002B3F9E">
        <w:rPr>
          <w:rFonts w:eastAsia="Arial" w:cs="Arial"/>
        </w:rPr>
        <w:t>De acuerdo al</w:t>
      </w:r>
      <w:proofErr w:type="gramEnd"/>
      <w:r w:rsidRPr="002B3F9E">
        <w:rPr>
          <w:rFonts w:eastAsia="Arial" w:cs="Arial"/>
        </w:rPr>
        <w:t xml:space="preserve"> decreto 1076 de 2015 artículo 2.2.1.1.11.3, las empresas de transformación primaria de productos forestales, las de transformación secundaria de productos forestales o de productos terminados, las de comercialización forestal, las de comercialización y transformación secundaria de productos forestales y las integradas deberán registrar un libro de operaciones ante la autoridad ambiental competente. Los datos que se presentan son acumulados e involucran la totalidad de industrias reportadas como registradas en el Área Flora e industria de la Madera para la localidad de Mártires.</w:t>
      </w:r>
    </w:p>
    <w:p w14:paraId="2387E06A" w14:textId="3230B6B5" w:rsidR="00C37D33" w:rsidRPr="00C37D33" w:rsidRDefault="00C37D33" w:rsidP="00C37D33">
      <w:pPr>
        <w:pStyle w:val="Descripcin"/>
        <w:keepNext/>
        <w:jc w:val="center"/>
        <w:rPr>
          <w:color w:val="auto"/>
        </w:rPr>
      </w:pPr>
      <w:bookmarkStart w:id="102" w:name="_Toc57227501"/>
      <w:r w:rsidRPr="00C37D33">
        <w:rPr>
          <w:color w:val="auto"/>
        </w:rPr>
        <w:t xml:space="preserve">Tabla </w:t>
      </w:r>
      <w:r w:rsidRPr="00C37D33">
        <w:rPr>
          <w:color w:val="auto"/>
        </w:rPr>
        <w:fldChar w:fldCharType="begin"/>
      </w:r>
      <w:r w:rsidRPr="00C37D33">
        <w:rPr>
          <w:color w:val="auto"/>
        </w:rPr>
        <w:instrText xml:space="preserve"> SEQ Tabla \* ARABIC </w:instrText>
      </w:r>
      <w:r w:rsidRPr="00C37D33">
        <w:rPr>
          <w:color w:val="auto"/>
        </w:rPr>
        <w:fldChar w:fldCharType="separate"/>
      </w:r>
      <w:r w:rsidRPr="00C37D33">
        <w:rPr>
          <w:noProof/>
          <w:color w:val="auto"/>
        </w:rPr>
        <w:t>16</w:t>
      </w:r>
      <w:r w:rsidRPr="00C37D33">
        <w:rPr>
          <w:color w:val="auto"/>
        </w:rPr>
        <w:fldChar w:fldCharType="end"/>
      </w:r>
      <w:r w:rsidRPr="00C37D33">
        <w:rPr>
          <w:color w:val="auto"/>
        </w:rPr>
        <w:t>. Empresas Forestales Registradas Ante la Secretaría Distrital de Ambiente - EFR</w:t>
      </w:r>
      <w:bookmarkEnd w:id="102"/>
    </w:p>
    <w:p w14:paraId="4EB0D38A" w14:textId="08B4CEA6" w:rsidR="00B11905" w:rsidRDefault="00B11905" w:rsidP="00B11905">
      <w:pPr>
        <w:pBdr>
          <w:top w:val="nil"/>
          <w:left w:val="nil"/>
          <w:bottom w:val="nil"/>
          <w:right w:val="nil"/>
          <w:between w:val="nil"/>
        </w:pBdr>
        <w:jc w:val="center"/>
        <w:rPr>
          <w:rFonts w:eastAsia="Arial" w:cs="Arial"/>
        </w:rPr>
      </w:pPr>
      <w:r>
        <w:rPr>
          <w:rFonts w:eastAsia="Arial" w:cs="Arial"/>
          <w:noProof/>
        </w:rPr>
        <w:drawing>
          <wp:inline distT="0" distB="0" distL="0" distR="0" wp14:anchorId="7BAA84B4" wp14:editId="73C6581F">
            <wp:extent cx="4549113" cy="4152900"/>
            <wp:effectExtent l="0" t="0" r="444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53416" cy="4156828"/>
                    </a:xfrm>
                    <a:prstGeom prst="rect">
                      <a:avLst/>
                    </a:prstGeom>
                    <a:noFill/>
                    <a:ln>
                      <a:noFill/>
                    </a:ln>
                  </pic:spPr>
                </pic:pic>
              </a:graphicData>
            </a:graphic>
          </wp:inline>
        </w:drawing>
      </w:r>
    </w:p>
    <w:p w14:paraId="2ABE6B88" w14:textId="77777777" w:rsidR="00B11905" w:rsidRPr="00C37D33" w:rsidRDefault="00B11905" w:rsidP="00B11905">
      <w:pPr>
        <w:pStyle w:val="Prrafodelista"/>
        <w:pBdr>
          <w:top w:val="nil"/>
          <w:left w:val="nil"/>
          <w:bottom w:val="nil"/>
          <w:right w:val="nil"/>
          <w:between w:val="nil"/>
        </w:pBdr>
        <w:spacing w:after="0" w:line="240" w:lineRule="auto"/>
        <w:ind w:left="426" w:firstLine="0"/>
        <w:jc w:val="center"/>
        <w:rPr>
          <w:rFonts w:eastAsia="Arial" w:cs="Arial"/>
          <w:i/>
          <w:iCs/>
        </w:rPr>
      </w:pPr>
      <w:r w:rsidRPr="00C37D33">
        <w:rPr>
          <w:rFonts w:eastAsia="Arial" w:cs="Arial"/>
          <w:i/>
          <w:iCs/>
          <w:sz w:val="18"/>
          <w:szCs w:val="18"/>
        </w:rPr>
        <w:t>Fuente: Observatorio Ambiental de Bogotá.</w:t>
      </w:r>
    </w:p>
    <w:p w14:paraId="1AAD6592" w14:textId="77777777" w:rsidR="0087017A" w:rsidRDefault="0087017A" w:rsidP="00C61BA6">
      <w:pPr>
        <w:pBdr>
          <w:top w:val="nil"/>
          <w:left w:val="nil"/>
          <w:bottom w:val="nil"/>
          <w:right w:val="nil"/>
          <w:between w:val="nil"/>
        </w:pBdr>
        <w:jc w:val="both"/>
        <w:rPr>
          <w:rFonts w:eastAsia="Arial" w:cs="Arial"/>
        </w:rPr>
      </w:pPr>
    </w:p>
    <w:p w14:paraId="091E5DF2" w14:textId="77777777" w:rsidR="0087017A" w:rsidRDefault="0087017A" w:rsidP="00C61BA6">
      <w:pPr>
        <w:pBdr>
          <w:top w:val="nil"/>
          <w:left w:val="nil"/>
          <w:bottom w:val="nil"/>
          <w:right w:val="nil"/>
          <w:between w:val="nil"/>
        </w:pBdr>
        <w:jc w:val="both"/>
        <w:rPr>
          <w:rFonts w:eastAsia="Arial" w:cs="Arial"/>
        </w:rPr>
      </w:pPr>
    </w:p>
    <w:p w14:paraId="6D06C076" w14:textId="77777777" w:rsidR="0087017A" w:rsidRDefault="0087017A" w:rsidP="00C61BA6">
      <w:pPr>
        <w:pBdr>
          <w:top w:val="nil"/>
          <w:left w:val="nil"/>
          <w:bottom w:val="nil"/>
          <w:right w:val="nil"/>
          <w:between w:val="nil"/>
        </w:pBdr>
        <w:jc w:val="both"/>
        <w:rPr>
          <w:rFonts w:eastAsia="Arial" w:cs="Arial"/>
        </w:rPr>
      </w:pPr>
    </w:p>
    <w:p w14:paraId="37126DDF" w14:textId="77777777" w:rsidR="0087017A" w:rsidRPr="00016A77" w:rsidRDefault="0087017A" w:rsidP="00C61BA6">
      <w:pPr>
        <w:pBdr>
          <w:top w:val="nil"/>
          <w:left w:val="nil"/>
          <w:bottom w:val="nil"/>
          <w:right w:val="nil"/>
          <w:between w:val="nil"/>
        </w:pBdr>
        <w:jc w:val="both"/>
        <w:rPr>
          <w:rFonts w:eastAsia="Arial" w:cs="Arial"/>
          <w:b/>
          <w:bCs/>
        </w:rPr>
      </w:pPr>
    </w:p>
    <w:p w14:paraId="590DD95B" w14:textId="38E37D81" w:rsidR="0087017A" w:rsidRPr="00016A77" w:rsidRDefault="00016A77" w:rsidP="00155940">
      <w:pPr>
        <w:pStyle w:val="Ttulo1"/>
      </w:pPr>
      <w:bookmarkStart w:id="103" w:name="_Toc57238657"/>
      <w:r>
        <w:lastRenderedPageBreak/>
        <w:t>B</w:t>
      </w:r>
      <w:r w:rsidRPr="00016A77">
        <w:t>ibliografía.</w:t>
      </w:r>
      <w:bookmarkEnd w:id="103"/>
    </w:p>
    <w:p w14:paraId="172F2EA0" w14:textId="6E730479" w:rsidR="0087017A" w:rsidRPr="0020533E" w:rsidRDefault="000F1CC6" w:rsidP="0020533E">
      <w:pPr>
        <w:pStyle w:val="Prrafodelista"/>
        <w:numPr>
          <w:ilvl w:val="0"/>
          <w:numId w:val="37"/>
        </w:numPr>
        <w:shd w:val="clear" w:color="auto" w:fill="FFFFFF"/>
        <w:spacing w:after="0"/>
        <w:jc w:val="both"/>
        <w:rPr>
          <w:rFonts w:eastAsia="Arial" w:cs="Arial"/>
        </w:rPr>
      </w:pPr>
      <w:r w:rsidRPr="0020533E">
        <w:rPr>
          <w:rFonts w:eastAsia="Arial" w:cs="Arial"/>
        </w:rPr>
        <w:t>La población de Los Mártires disminuyó 6,1%. (</w:t>
      </w:r>
      <w:proofErr w:type="gramStart"/>
      <w:r>
        <w:t>Noviembre</w:t>
      </w:r>
      <w:proofErr w:type="gramEnd"/>
      <w:r>
        <w:t xml:space="preserve"> 2020). </w:t>
      </w:r>
      <w:r w:rsidRPr="0020533E">
        <w:rPr>
          <w:rFonts w:eastAsia="Arial" w:cs="Arial"/>
        </w:rPr>
        <w:t xml:space="preserve">Secretaría de Desarrollo Económico. Obtenido de </w:t>
      </w:r>
      <w:r w:rsidR="000E32D4" w:rsidRPr="0020533E">
        <w:rPr>
          <w:rFonts w:eastAsia="Arial" w:cs="Arial"/>
        </w:rPr>
        <w:t>http://observatorio.desarrolloeconomico.gov.co/dinamica-economica/la-poblacion-de-los-martires-disminuyo-61</w:t>
      </w:r>
    </w:p>
    <w:p w14:paraId="5813862E" w14:textId="77777777" w:rsidR="00A6752A" w:rsidRDefault="00A6752A" w:rsidP="0020533E">
      <w:pPr>
        <w:shd w:val="clear" w:color="auto" w:fill="FFFFFF"/>
        <w:spacing w:after="0"/>
        <w:ind w:firstLine="0"/>
        <w:jc w:val="both"/>
        <w:rPr>
          <w:rFonts w:eastAsia="Arial" w:cs="Arial"/>
        </w:rPr>
      </w:pPr>
    </w:p>
    <w:p w14:paraId="1F96F9F1" w14:textId="1FEA5692" w:rsidR="000E32D4" w:rsidRDefault="00A6752A" w:rsidP="0020533E">
      <w:pPr>
        <w:pStyle w:val="Prrafodelista"/>
        <w:numPr>
          <w:ilvl w:val="0"/>
          <w:numId w:val="37"/>
        </w:numPr>
        <w:shd w:val="clear" w:color="auto" w:fill="FFFFFF"/>
        <w:spacing w:after="240"/>
        <w:jc w:val="both"/>
        <w:rPr>
          <w:rFonts w:eastAsia="Arial" w:cs="Arial"/>
        </w:rPr>
      </w:pPr>
      <w:r w:rsidRPr="0020533E">
        <w:rPr>
          <w:rFonts w:eastAsia="Arial" w:cs="Arial"/>
        </w:rPr>
        <w:t xml:space="preserve">Elementos de Publicidad Exterior Visual Desmontada Anualmente </w:t>
      </w:r>
      <w:r w:rsidR="000E32D4" w:rsidRPr="0020533E">
        <w:rPr>
          <w:rFonts w:eastAsia="Arial" w:cs="Arial"/>
        </w:rPr>
        <w:t>(</w:t>
      </w:r>
      <w:proofErr w:type="gramStart"/>
      <w:r w:rsidR="000E32D4" w:rsidRPr="0020533E">
        <w:rPr>
          <w:rFonts w:eastAsia="Arial" w:cs="Arial"/>
        </w:rPr>
        <w:t>Noviembre  2020</w:t>
      </w:r>
      <w:proofErr w:type="gramEnd"/>
      <w:r w:rsidR="000E32D4" w:rsidRPr="0020533E">
        <w:rPr>
          <w:rFonts w:eastAsia="Arial" w:cs="Arial"/>
        </w:rPr>
        <w:t>) Observatorio Ambiental de Bogotá. Obtenido de https://oab.ambientebogota.gov.co/indicadores/?id=661&amp;v=l</w:t>
      </w:r>
    </w:p>
    <w:p w14:paraId="7C07D309" w14:textId="77777777" w:rsidR="0020533E" w:rsidRPr="0020533E" w:rsidRDefault="0020533E" w:rsidP="0020533E">
      <w:pPr>
        <w:pStyle w:val="Prrafodelista"/>
        <w:shd w:val="clear" w:color="auto" w:fill="FFFFFF"/>
        <w:spacing w:after="240"/>
        <w:ind w:firstLine="0"/>
        <w:jc w:val="both"/>
        <w:rPr>
          <w:rFonts w:eastAsia="Arial" w:cs="Arial"/>
        </w:rPr>
      </w:pPr>
    </w:p>
    <w:p w14:paraId="7E62A907" w14:textId="41367146" w:rsidR="0020533E" w:rsidRDefault="000E32D4" w:rsidP="0020533E">
      <w:pPr>
        <w:pStyle w:val="Prrafodelista"/>
        <w:numPr>
          <w:ilvl w:val="0"/>
          <w:numId w:val="37"/>
        </w:numPr>
        <w:shd w:val="clear" w:color="auto" w:fill="FFFFFF"/>
        <w:spacing w:after="0"/>
        <w:jc w:val="both"/>
        <w:rPr>
          <w:rFonts w:eastAsia="Arial" w:cs="Arial"/>
        </w:rPr>
      </w:pPr>
      <w:r w:rsidRPr="0020533E">
        <w:rPr>
          <w:rFonts w:eastAsia="Arial" w:cs="Arial"/>
        </w:rPr>
        <w:t>Pozos de Agua Subterránea con Sellamiento Temporal. (</w:t>
      </w:r>
      <w:proofErr w:type="gramStart"/>
      <w:r w:rsidRPr="0020533E">
        <w:rPr>
          <w:rFonts w:eastAsia="Arial" w:cs="Arial"/>
        </w:rPr>
        <w:t>Noviembre  2020</w:t>
      </w:r>
      <w:proofErr w:type="gramEnd"/>
      <w:r w:rsidRPr="0020533E">
        <w:rPr>
          <w:rFonts w:eastAsia="Arial" w:cs="Arial"/>
        </w:rPr>
        <w:t xml:space="preserve">) Observatorio Ambiental de Bogotá. Obtenido de </w:t>
      </w:r>
      <w:r w:rsidR="00BA77AD" w:rsidRPr="00BE3F20">
        <w:rPr>
          <w:rFonts w:eastAsia="Arial" w:cs="Arial"/>
        </w:rPr>
        <w:t>https://oab.ambientebogota.gov.co/indicadores/?id=106&amp;v=l#info</w:t>
      </w:r>
      <w:r w:rsidR="006371D8" w:rsidRPr="0020533E">
        <w:rPr>
          <w:rFonts w:eastAsia="Arial" w:cs="Arial"/>
        </w:rPr>
        <w:t xml:space="preserve"> </w:t>
      </w:r>
    </w:p>
    <w:p w14:paraId="799074ED" w14:textId="77777777" w:rsidR="0020533E" w:rsidRPr="0020533E" w:rsidRDefault="0020533E" w:rsidP="0020533E">
      <w:pPr>
        <w:shd w:val="clear" w:color="auto" w:fill="FFFFFF"/>
        <w:spacing w:after="0"/>
        <w:ind w:firstLine="0"/>
        <w:jc w:val="both"/>
        <w:rPr>
          <w:rFonts w:eastAsia="Arial" w:cs="Arial"/>
        </w:rPr>
      </w:pPr>
    </w:p>
    <w:p w14:paraId="15A3B290" w14:textId="1BC49278" w:rsidR="0020533E" w:rsidRDefault="00BA77AD" w:rsidP="0020533E">
      <w:pPr>
        <w:pStyle w:val="Prrafodelista"/>
        <w:numPr>
          <w:ilvl w:val="0"/>
          <w:numId w:val="37"/>
        </w:numPr>
        <w:shd w:val="clear" w:color="auto" w:fill="FFFFFF"/>
        <w:spacing w:after="240"/>
        <w:jc w:val="both"/>
        <w:rPr>
          <w:rFonts w:eastAsia="Arial" w:cs="Arial"/>
        </w:rPr>
      </w:pPr>
      <w:r w:rsidRPr="0020533E">
        <w:rPr>
          <w:rFonts w:eastAsia="Arial" w:cs="Arial"/>
        </w:rPr>
        <w:t>Agua Superficial Indicadores en Corrientes, Rio Fucha. (</w:t>
      </w:r>
      <w:proofErr w:type="gramStart"/>
      <w:r w:rsidRPr="0020533E">
        <w:rPr>
          <w:rFonts w:eastAsia="Arial" w:cs="Arial"/>
        </w:rPr>
        <w:t>Noviembre  2020</w:t>
      </w:r>
      <w:proofErr w:type="gramEnd"/>
      <w:r w:rsidRPr="0020533E">
        <w:rPr>
          <w:rFonts w:eastAsia="Arial" w:cs="Arial"/>
        </w:rPr>
        <w:t xml:space="preserve">) Observatorio Ambiental de Bogotá. Obtenido de </w:t>
      </w:r>
      <w:r w:rsidRPr="00BE3F20">
        <w:rPr>
          <w:rFonts w:eastAsia="Arial" w:cs="Arial"/>
        </w:rPr>
        <w:t>https://oab.ambientebogota.gov.co/indicadores/?id=433&amp;v=l</w:t>
      </w:r>
    </w:p>
    <w:p w14:paraId="6ECB35B9" w14:textId="77777777" w:rsidR="00266DA9" w:rsidRDefault="00266DA9" w:rsidP="00266DA9">
      <w:pPr>
        <w:pStyle w:val="Prrafodelista"/>
        <w:shd w:val="clear" w:color="auto" w:fill="FFFFFF"/>
        <w:spacing w:after="240"/>
        <w:ind w:firstLine="0"/>
        <w:jc w:val="both"/>
        <w:rPr>
          <w:rFonts w:eastAsia="Arial" w:cs="Arial"/>
        </w:rPr>
      </w:pPr>
    </w:p>
    <w:p w14:paraId="1347BD1B" w14:textId="5E8376E2" w:rsidR="00266DA9" w:rsidRDefault="004C6F97" w:rsidP="00266DA9">
      <w:pPr>
        <w:pStyle w:val="Prrafodelista"/>
        <w:numPr>
          <w:ilvl w:val="0"/>
          <w:numId w:val="37"/>
        </w:numPr>
        <w:shd w:val="clear" w:color="auto" w:fill="FFFFFF"/>
        <w:spacing w:after="240"/>
        <w:jc w:val="both"/>
        <w:rPr>
          <w:rFonts w:eastAsia="Arial" w:cs="Arial"/>
        </w:rPr>
      </w:pPr>
      <w:r w:rsidRPr="0020533E">
        <w:rPr>
          <w:rFonts w:eastAsia="Arial" w:cs="Arial"/>
        </w:rPr>
        <w:t>Empresas Participantes en el Programa de Gestión Ambiental Empresarial por Localidad (</w:t>
      </w:r>
      <w:proofErr w:type="gramStart"/>
      <w:r w:rsidRPr="0020533E">
        <w:rPr>
          <w:rFonts w:eastAsia="Arial" w:cs="Arial"/>
        </w:rPr>
        <w:t>Noviembre  2020</w:t>
      </w:r>
      <w:proofErr w:type="gramEnd"/>
      <w:r w:rsidRPr="0020533E">
        <w:rPr>
          <w:rFonts w:eastAsia="Arial" w:cs="Arial"/>
        </w:rPr>
        <w:t xml:space="preserve">) Observatorio Ambiental de Bogotá. Obtenido de </w:t>
      </w:r>
      <w:r w:rsidRPr="00BE3F20">
        <w:rPr>
          <w:rFonts w:eastAsia="Arial" w:cs="Arial"/>
        </w:rPr>
        <w:t>https://oab.ambientebogota.gov.co/indicadores/?id=1095&amp;v=l</w:t>
      </w:r>
    </w:p>
    <w:p w14:paraId="520F0318" w14:textId="77777777" w:rsidR="00266DA9" w:rsidRDefault="00266DA9" w:rsidP="00266DA9">
      <w:pPr>
        <w:pStyle w:val="Prrafodelista"/>
        <w:shd w:val="clear" w:color="auto" w:fill="FFFFFF"/>
        <w:spacing w:after="240"/>
        <w:ind w:firstLine="0"/>
        <w:jc w:val="both"/>
        <w:rPr>
          <w:rFonts w:eastAsia="Arial" w:cs="Arial"/>
        </w:rPr>
      </w:pPr>
    </w:p>
    <w:p w14:paraId="4AE72CF7" w14:textId="37F98C9A" w:rsidR="004C6F97" w:rsidRDefault="004C6F97" w:rsidP="0020533E">
      <w:pPr>
        <w:pStyle w:val="Prrafodelista"/>
        <w:numPr>
          <w:ilvl w:val="0"/>
          <w:numId w:val="37"/>
        </w:numPr>
        <w:shd w:val="clear" w:color="auto" w:fill="FFFFFF"/>
        <w:spacing w:after="240"/>
        <w:jc w:val="both"/>
        <w:rPr>
          <w:rFonts w:eastAsia="Arial" w:cs="Arial"/>
        </w:rPr>
      </w:pPr>
      <w:r w:rsidRPr="0020533E">
        <w:rPr>
          <w:rFonts w:eastAsia="Arial" w:cs="Arial"/>
        </w:rPr>
        <w:t>Empresas Forestales Registradas Ante la Secretaría Distrital de Ambiente. (</w:t>
      </w:r>
      <w:proofErr w:type="gramStart"/>
      <w:r w:rsidRPr="0020533E">
        <w:rPr>
          <w:rFonts w:eastAsia="Arial" w:cs="Arial"/>
        </w:rPr>
        <w:t>Noviembre  2020</w:t>
      </w:r>
      <w:proofErr w:type="gramEnd"/>
      <w:r w:rsidRPr="0020533E">
        <w:rPr>
          <w:rFonts w:eastAsia="Arial" w:cs="Arial"/>
        </w:rPr>
        <w:t xml:space="preserve">) Observatorio Ambiental de Bogotá.. Obtenido de </w:t>
      </w:r>
      <w:r w:rsidRPr="00BE3F20">
        <w:rPr>
          <w:rFonts w:eastAsia="Arial" w:cs="Arial"/>
        </w:rPr>
        <w:t>https://oab.ambientebogota.gov.co/indicadores/?id=167&amp;v=l</w:t>
      </w:r>
    </w:p>
    <w:p w14:paraId="7AA1C2DB" w14:textId="77777777" w:rsidR="00266DA9" w:rsidRPr="00266DA9" w:rsidRDefault="00266DA9" w:rsidP="00266DA9">
      <w:pPr>
        <w:pStyle w:val="Prrafodelista"/>
        <w:rPr>
          <w:rFonts w:eastAsia="Arial" w:cs="Arial"/>
        </w:rPr>
      </w:pPr>
    </w:p>
    <w:p w14:paraId="072B312A" w14:textId="5982F2F0" w:rsidR="00266DA9" w:rsidRDefault="004C6F97" w:rsidP="00266DA9">
      <w:pPr>
        <w:pStyle w:val="Prrafodelista"/>
        <w:numPr>
          <w:ilvl w:val="0"/>
          <w:numId w:val="37"/>
        </w:numPr>
        <w:shd w:val="clear" w:color="auto" w:fill="FFFFFF"/>
        <w:spacing w:after="240"/>
        <w:jc w:val="both"/>
        <w:rPr>
          <w:rFonts w:eastAsia="Arial" w:cs="Arial"/>
        </w:rPr>
      </w:pPr>
      <w:r w:rsidRPr="0020533E">
        <w:rPr>
          <w:rFonts w:eastAsia="Arial" w:cs="Arial"/>
        </w:rPr>
        <w:t>Secretaría Distrital de Planeación. (2017). Monografía de localidades – No.14 Los Mártires</w:t>
      </w:r>
      <w:r w:rsidR="00A70764" w:rsidRPr="0020533E">
        <w:rPr>
          <w:rFonts w:eastAsia="Arial" w:cs="Arial"/>
        </w:rPr>
        <w:t>. Bogotá.</w:t>
      </w:r>
    </w:p>
    <w:p w14:paraId="3E1E83A5" w14:textId="77777777" w:rsidR="00266DA9" w:rsidRPr="00266DA9" w:rsidRDefault="00266DA9" w:rsidP="00266DA9">
      <w:pPr>
        <w:pStyle w:val="Prrafodelista"/>
        <w:rPr>
          <w:rFonts w:eastAsia="Arial" w:cs="Arial"/>
        </w:rPr>
      </w:pPr>
    </w:p>
    <w:p w14:paraId="597406D6" w14:textId="6404AA4A" w:rsidR="00306617" w:rsidRDefault="00306617" w:rsidP="0020533E">
      <w:pPr>
        <w:pStyle w:val="Prrafodelista"/>
        <w:numPr>
          <w:ilvl w:val="0"/>
          <w:numId w:val="37"/>
        </w:numPr>
        <w:shd w:val="clear" w:color="auto" w:fill="FFFFFF"/>
        <w:spacing w:after="240"/>
        <w:jc w:val="both"/>
        <w:rPr>
          <w:rFonts w:eastAsia="Arial" w:cs="Arial"/>
        </w:rPr>
      </w:pPr>
      <w:r w:rsidRPr="0020533E">
        <w:rPr>
          <w:rFonts w:eastAsia="Arial" w:cs="Arial"/>
        </w:rPr>
        <w:t>Informe anual de calidad del aire de Bogotá. 2019. (2020</w:t>
      </w:r>
      <w:proofErr w:type="gramStart"/>
      <w:r w:rsidRPr="0020533E">
        <w:rPr>
          <w:rFonts w:eastAsia="Arial" w:cs="Arial"/>
        </w:rPr>
        <w:t>)  Red</w:t>
      </w:r>
      <w:proofErr w:type="gramEnd"/>
      <w:r w:rsidRPr="0020533E">
        <w:rPr>
          <w:rFonts w:eastAsia="Arial" w:cs="Arial"/>
        </w:rPr>
        <w:t xml:space="preserve"> de Monitoreo de Calidad del Aire de Bogotá. Bogotá.</w:t>
      </w:r>
    </w:p>
    <w:p w14:paraId="5097AA04" w14:textId="77777777" w:rsidR="00266DA9" w:rsidRPr="00266DA9" w:rsidRDefault="00266DA9" w:rsidP="00266DA9">
      <w:pPr>
        <w:pStyle w:val="Prrafodelista"/>
        <w:rPr>
          <w:rFonts w:eastAsia="Arial" w:cs="Arial"/>
        </w:rPr>
      </w:pPr>
    </w:p>
    <w:p w14:paraId="53372AE4" w14:textId="2A6D157D" w:rsidR="00306617" w:rsidRDefault="00306617" w:rsidP="0020533E">
      <w:pPr>
        <w:pStyle w:val="Prrafodelista"/>
        <w:numPr>
          <w:ilvl w:val="0"/>
          <w:numId w:val="37"/>
        </w:numPr>
        <w:shd w:val="clear" w:color="auto" w:fill="FFFFFF"/>
        <w:spacing w:after="240"/>
        <w:jc w:val="both"/>
        <w:rPr>
          <w:rFonts w:eastAsia="Arial" w:cs="Arial"/>
        </w:rPr>
      </w:pPr>
      <w:r w:rsidRPr="0020533E">
        <w:rPr>
          <w:rFonts w:eastAsia="Arial" w:cs="Arial"/>
        </w:rPr>
        <w:t>Informe anual de calidad del aire de Bogotá. 2018. (2019</w:t>
      </w:r>
      <w:proofErr w:type="gramStart"/>
      <w:r w:rsidRPr="0020533E">
        <w:rPr>
          <w:rFonts w:eastAsia="Arial" w:cs="Arial"/>
        </w:rPr>
        <w:t>)  Red</w:t>
      </w:r>
      <w:proofErr w:type="gramEnd"/>
      <w:r w:rsidRPr="0020533E">
        <w:rPr>
          <w:rFonts w:eastAsia="Arial" w:cs="Arial"/>
        </w:rPr>
        <w:t xml:space="preserve"> de Monitoreo de Calidad del Aire de Bogotá. Bogotá.</w:t>
      </w:r>
    </w:p>
    <w:p w14:paraId="27F990C1" w14:textId="77777777" w:rsidR="00266DA9" w:rsidRPr="00266DA9" w:rsidRDefault="00266DA9" w:rsidP="00266DA9">
      <w:pPr>
        <w:pStyle w:val="Prrafodelista"/>
        <w:rPr>
          <w:rFonts w:eastAsia="Arial" w:cs="Arial"/>
        </w:rPr>
      </w:pPr>
    </w:p>
    <w:p w14:paraId="1A46819A" w14:textId="6F46CA3D" w:rsidR="00306617" w:rsidRDefault="00D34461" w:rsidP="0020533E">
      <w:pPr>
        <w:pStyle w:val="Prrafodelista"/>
        <w:numPr>
          <w:ilvl w:val="0"/>
          <w:numId w:val="37"/>
        </w:numPr>
        <w:shd w:val="clear" w:color="auto" w:fill="FFFFFF"/>
        <w:spacing w:after="240"/>
        <w:jc w:val="both"/>
      </w:pPr>
      <w:r>
        <w:t>Jardín Botánico</w:t>
      </w:r>
      <w:r w:rsidR="00DE1AAF">
        <w:t xml:space="preserve"> de Bogotá</w:t>
      </w:r>
      <w:r>
        <w:t xml:space="preserve">, Subdirección Técnica </w:t>
      </w:r>
      <w:r w:rsidR="00DE1AAF">
        <w:t>O</w:t>
      </w:r>
      <w:r>
        <w:t>perativa,</w:t>
      </w:r>
      <w:r w:rsidR="00DE1AAF">
        <w:t xml:space="preserve"> (2020).</w:t>
      </w:r>
      <w:r w:rsidR="00DE1AAF" w:rsidRPr="00DE1AAF">
        <w:t xml:space="preserve"> </w:t>
      </w:r>
      <w:r w:rsidR="00DE1AAF">
        <w:t>Reporte intervenciones del arbolado urbano y la Jardinería en Localidad de los Mártires. Bogotá.</w:t>
      </w:r>
    </w:p>
    <w:p w14:paraId="11ECBE47" w14:textId="77777777" w:rsidR="00266DA9" w:rsidRDefault="00266DA9" w:rsidP="00266DA9">
      <w:pPr>
        <w:pStyle w:val="Prrafodelista"/>
      </w:pPr>
    </w:p>
    <w:p w14:paraId="26D54680" w14:textId="798B84D3" w:rsidR="00B60DC6" w:rsidRDefault="00650767" w:rsidP="0020533E">
      <w:pPr>
        <w:pStyle w:val="Prrafodelista"/>
        <w:numPr>
          <w:ilvl w:val="0"/>
          <w:numId w:val="37"/>
        </w:numPr>
        <w:shd w:val="clear" w:color="auto" w:fill="FFFFFF"/>
        <w:spacing w:after="240"/>
        <w:jc w:val="both"/>
        <w:rPr>
          <w:rFonts w:eastAsia="Arial" w:cs="Arial"/>
        </w:rPr>
      </w:pPr>
      <w:r w:rsidRPr="0020533E">
        <w:rPr>
          <w:rFonts w:eastAsia="Arial" w:cs="Arial"/>
        </w:rPr>
        <w:t>Documento de diagnóstico por localidades, No.14 Los Mártires. (2020). Secretaría Distrital de Planeación. Bogotá.</w:t>
      </w:r>
    </w:p>
    <w:p w14:paraId="01D34FF8" w14:textId="77777777" w:rsidR="00266DA9" w:rsidRPr="00266DA9" w:rsidRDefault="00266DA9" w:rsidP="00266DA9">
      <w:pPr>
        <w:pStyle w:val="Prrafodelista"/>
        <w:rPr>
          <w:rFonts w:eastAsia="Arial" w:cs="Arial"/>
        </w:rPr>
      </w:pPr>
    </w:p>
    <w:p w14:paraId="2321EAF0" w14:textId="09D2F871" w:rsidR="00650767" w:rsidRDefault="00650767" w:rsidP="0020533E">
      <w:pPr>
        <w:pStyle w:val="Prrafodelista"/>
        <w:numPr>
          <w:ilvl w:val="0"/>
          <w:numId w:val="37"/>
        </w:numPr>
        <w:shd w:val="clear" w:color="auto" w:fill="FFFFFF"/>
        <w:spacing w:after="240"/>
        <w:jc w:val="both"/>
        <w:rPr>
          <w:rFonts w:eastAsia="Arial" w:cs="Arial"/>
        </w:rPr>
      </w:pPr>
      <w:r w:rsidRPr="0020533E">
        <w:rPr>
          <w:rFonts w:eastAsia="Arial" w:cs="Arial"/>
        </w:rPr>
        <w:t>Plan Ambiental Local Los Mártires 2017 – 2020. Alcaldía Local de los Mártires. Bogotá.</w:t>
      </w:r>
    </w:p>
    <w:p w14:paraId="5CE9A4FA" w14:textId="77777777" w:rsidR="00266DA9" w:rsidRPr="00266DA9" w:rsidRDefault="00266DA9" w:rsidP="00266DA9">
      <w:pPr>
        <w:pStyle w:val="Prrafodelista"/>
        <w:rPr>
          <w:rFonts w:eastAsia="Arial" w:cs="Arial"/>
        </w:rPr>
      </w:pPr>
    </w:p>
    <w:p w14:paraId="76927982" w14:textId="2389D229" w:rsidR="00650767" w:rsidRDefault="00650767" w:rsidP="0020533E">
      <w:pPr>
        <w:pStyle w:val="Prrafodelista"/>
        <w:numPr>
          <w:ilvl w:val="0"/>
          <w:numId w:val="37"/>
        </w:numPr>
        <w:shd w:val="clear" w:color="auto" w:fill="FFFFFF"/>
        <w:spacing w:after="240"/>
        <w:jc w:val="both"/>
        <w:rPr>
          <w:rFonts w:eastAsia="Arial" w:cs="Arial"/>
        </w:rPr>
      </w:pPr>
      <w:r w:rsidRPr="0020533E">
        <w:rPr>
          <w:rFonts w:eastAsia="Arial" w:cs="Arial"/>
        </w:rPr>
        <w:t xml:space="preserve">Jardín Botánico de Bogotá. (2020). Diagnostico Agricultura </w:t>
      </w:r>
      <w:proofErr w:type="gramStart"/>
      <w:r w:rsidRPr="0020533E">
        <w:rPr>
          <w:rFonts w:eastAsia="Arial" w:cs="Arial"/>
        </w:rPr>
        <w:t>Urbana  Localidad</w:t>
      </w:r>
      <w:proofErr w:type="gramEnd"/>
      <w:r w:rsidRPr="0020533E">
        <w:rPr>
          <w:rFonts w:eastAsia="Arial" w:cs="Arial"/>
        </w:rPr>
        <w:t xml:space="preserve"> de Los  Mártires. </w:t>
      </w:r>
      <w:r w:rsidR="00C46462" w:rsidRPr="0020533E">
        <w:rPr>
          <w:rFonts w:eastAsia="Arial" w:cs="Arial"/>
        </w:rPr>
        <w:t>Bogotá.</w:t>
      </w:r>
    </w:p>
    <w:p w14:paraId="16459A04" w14:textId="77777777" w:rsidR="00266DA9" w:rsidRPr="00266DA9" w:rsidRDefault="00266DA9" w:rsidP="00266DA9">
      <w:pPr>
        <w:pStyle w:val="Prrafodelista"/>
        <w:rPr>
          <w:rFonts w:eastAsia="Arial" w:cs="Arial"/>
        </w:rPr>
      </w:pPr>
    </w:p>
    <w:p w14:paraId="486A808C" w14:textId="63E0B8BA" w:rsidR="00650767" w:rsidRDefault="00C46462" w:rsidP="0020533E">
      <w:pPr>
        <w:pStyle w:val="Prrafodelista"/>
        <w:numPr>
          <w:ilvl w:val="0"/>
          <w:numId w:val="37"/>
        </w:numPr>
        <w:shd w:val="clear" w:color="auto" w:fill="FFFFFF"/>
        <w:spacing w:after="240"/>
        <w:jc w:val="both"/>
        <w:rPr>
          <w:color w:val="000000"/>
          <w:lang w:val="es-CO"/>
        </w:rPr>
      </w:pPr>
      <w:r w:rsidRPr="0020533E">
        <w:rPr>
          <w:color w:val="000000"/>
          <w:lang w:val="es-CO"/>
        </w:rPr>
        <w:t>Unidad Administrativa Especial de Servicios Públicos. (2020). Manejo de residuos sólidos. Bogotá.</w:t>
      </w:r>
    </w:p>
    <w:p w14:paraId="21D6C19A" w14:textId="77777777" w:rsidR="00266DA9" w:rsidRPr="00266DA9" w:rsidRDefault="00266DA9" w:rsidP="00266DA9">
      <w:pPr>
        <w:pStyle w:val="Prrafodelista"/>
        <w:rPr>
          <w:color w:val="000000"/>
          <w:lang w:val="es-CO"/>
        </w:rPr>
      </w:pPr>
    </w:p>
    <w:p w14:paraId="2569D26A" w14:textId="3B833A06" w:rsidR="00C46462" w:rsidRDefault="00C46462" w:rsidP="0020533E">
      <w:pPr>
        <w:pStyle w:val="Prrafodelista"/>
        <w:numPr>
          <w:ilvl w:val="0"/>
          <w:numId w:val="37"/>
        </w:numPr>
        <w:shd w:val="clear" w:color="auto" w:fill="FFFFFF"/>
        <w:spacing w:after="240"/>
        <w:jc w:val="both"/>
        <w:rPr>
          <w:rFonts w:cstheme="minorHAnsi"/>
        </w:rPr>
      </w:pPr>
      <w:r w:rsidRPr="0020533E">
        <w:rPr>
          <w:rFonts w:cstheme="minorHAnsi"/>
        </w:rPr>
        <w:t>LIME S.A. E.S.P. (2020). Diagnóstico Local de Los Mártires. Bogotá.</w:t>
      </w:r>
    </w:p>
    <w:p w14:paraId="5C9A6DA6" w14:textId="77777777" w:rsidR="00266DA9" w:rsidRPr="00266DA9" w:rsidRDefault="00266DA9" w:rsidP="00266DA9">
      <w:pPr>
        <w:pStyle w:val="Prrafodelista"/>
        <w:rPr>
          <w:rFonts w:cstheme="minorHAnsi"/>
        </w:rPr>
      </w:pPr>
    </w:p>
    <w:p w14:paraId="19C2D914" w14:textId="791C89FC" w:rsidR="001D39E5" w:rsidRPr="0020533E" w:rsidRDefault="00D70A2D" w:rsidP="0020533E">
      <w:pPr>
        <w:pStyle w:val="Prrafodelista"/>
        <w:numPr>
          <w:ilvl w:val="0"/>
          <w:numId w:val="37"/>
        </w:numPr>
        <w:shd w:val="clear" w:color="auto" w:fill="FFFFFF"/>
        <w:spacing w:after="240"/>
        <w:jc w:val="both"/>
        <w:rPr>
          <w:rFonts w:cstheme="minorHAnsi"/>
        </w:rPr>
      </w:pPr>
      <w:r w:rsidRPr="0020533E">
        <w:rPr>
          <w:rFonts w:cstheme="minorHAnsi"/>
        </w:rPr>
        <w:t xml:space="preserve">Mapa </w:t>
      </w:r>
      <w:r w:rsidR="001D39E5" w:rsidRPr="0020533E">
        <w:rPr>
          <w:rFonts w:cstheme="minorHAnsi"/>
        </w:rPr>
        <w:t xml:space="preserve">Actividades de Educación en </w:t>
      </w:r>
      <w:proofErr w:type="gramStart"/>
      <w:r w:rsidR="001D39E5" w:rsidRPr="0020533E">
        <w:rPr>
          <w:rFonts w:cstheme="minorHAnsi"/>
        </w:rPr>
        <w:t>el  marco</w:t>
      </w:r>
      <w:proofErr w:type="gramEnd"/>
      <w:r w:rsidR="001D39E5" w:rsidRPr="0020533E">
        <w:rPr>
          <w:rFonts w:cstheme="minorHAnsi"/>
        </w:rPr>
        <w:t xml:space="preserve"> de las situaciones Ambientales Conflictivas.</w:t>
      </w:r>
      <w:r w:rsidRPr="0020533E">
        <w:rPr>
          <w:rFonts w:cstheme="minorHAnsi"/>
        </w:rPr>
        <w:t xml:space="preserve"> (</w:t>
      </w:r>
      <w:proofErr w:type="gramStart"/>
      <w:r w:rsidRPr="0020533E">
        <w:rPr>
          <w:rFonts w:cstheme="minorHAnsi"/>
        </w:rPr>
        <w:t>Noviembre</w:t>
      </w:r>
      <w:proofErr w:type="gramEnd"/>
      <w:r w:rsidRPr="0020533E">
        <w:rPr>
          <w:rFonts w:cstheme="minorHAnsi"/>
        </w:rPr>
        <w:t xml:space="preserve"> de 2020). </w:t>
      </w:r>
      <w:r w:rsidRPr="0020533E">
        <w:rPr>
          <w:rFonts w:eastAsia="Arial" w:cs="Arial"/>
        </w:rPr>
        <w:t>Observatorio Ambiental de Bogotá. Obtenido de https://oab.ambientebogota.gov.co/?post_type=dlm_download&amp;p=13546</w:t>
      </w:r>
    </w:p>
    <w:p w14:paraId="1A641036" w14:textId="77777777" w:rsidR="00C46462" w:rsidRPr="00C46462" w:rsidRDefault="00C46462" w:rsidP="0020533E">
      <w:pPr>
        <w:shd w:val="clear" w:color="auto" w:fill="FFFFFF"/>
        <w:spacing w:after="240"/>
        <w:ind w:firstLine="0"/>
        <w:jc w:val="both"/>
        <w:rPr>
          <w:rFonts w:eastAsia="Arial" w:cs="Arial"/>
        </w:rPr>
      </w:pPr>
    </w:p>
    <w:p w14:paraId="1BFC8B9A" w14:textId="77777777" w:rsidR="00650767" w:rsidRDefault="00650767" w:rsidP="00306617">
      <w:pPr>
        <w:shd w:val="clear" w:color="auto" w:fill="FFFFFF"/>
        <w:spacing w:after="240"/>
        <w:ind w:firstLine="0"/>
        <w:jc w:val="both"/>
        <w:rPr>
          <w:rFonts w:eastAsia="Arial" w:cs="Arial"/>
        </w:rPr>
      </w:pPr>
    </w:p>
    <w:p w14:paraId="5E5FFD62" w14:textId="77777777" w:rsidR="004C6F97" w:rsidRDefault="004C6F97" w:rsidP="004C6F97">
      <w:pPr>
        <w:shd w:val="clear" w:color="auto" w:fill="FFFFFF"/>
        <w:spacing w:after="240"/>
        <w:ind w:firstLine="0"/>
        <w:jc w:val="both"/>
        <w:rPr>
          <w:rFonts w:eastAsia="Arial" w:cs="Arial"/>
          <w:color w:val="55677A"/>
        </w:rPr>
      </w:pPr>
    </w:p>
    <w:p w14:paraId="261318B1" w14:textId="77777777" w:rsidR="0087017A" w:rsidRDefault="0087017A" w:rsidP="00C61BA6">
      <w:pPr>
        <w:shd w:val="clear" w:color="auto" w:fill="FFFFFF"/>
        <w:spacing w:after="240"/>
        <w:jc w:val="both"/>
        <w:rPr>
          <w:rFonts w:eastAsia="Arial" w:cs="Arial"/>
          <w:color w:val="55677A"/>
        </w:rPr>
      </w:pPr>
    </w:p>
    <w:p w14:paraId="2A5252FA" w14:textId="77777777" w:rsidR="0087017A" w:rsidRDefault="0087017A" w:rsidP="00C61BA6">
      <w:pPr>
        <w:jc w:val="both"/>
        <w:rPr>
          <w:rFonts w:eastAsia="Arial" w:cs="Arial"/>
        </w:rPr>
      </w:pPr>
    </w:p>
    <w:p w14:paraId="334616FD" w14:textId="77777777" w:rsidR="0087017A" w:rsidRDefault="0087017A" w:rsidP="00C61BA6">
      <w:pPr>
        <w:spacing w:after="0"/>
        <w:jc w:val="both"/>
        <w:rPr>
          <w:rFonts w:eastAsia="Arial" w:cs="Arial"/>
        </w:rPr>
      </w:pPr>
    </w:p>
    <w:sectPr w:rsidR="0087017A" w:rsidSect="00363BC5">
      <w:pgSz w:w="12240" w:h="15840"/>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5D2F17" w14:textId="77777777" w:rsidR="007E54F3" w:rsidRDefault="007E54F3" w:rsidP="00EF1074">
      <w:pPr>
        <w:spacing w:after="0" w:line="240" w:lineRule="auto"/>
      </w:pPr>
      <w:r>
        <w:separator/>
      </w:r>
    </w:p>
  </w:endnote>
  <w:endnote w:type="continuationSeparator" w:id="0">
    <w:p w14:paraId="430384F6" w14:textId="77777777" w:rsidR="007E54F3" w:rsidRDefault="007E54F3" w:rsidP="00EF1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B026A" w14:textId="106BA429" w:rsidR="00ED57B1" w:rsidRDefault="00ED57B1">
    <w:pPr>
      <w:pStyle w:val="Piedepgina"/>
      <w:jc w:val="right"/>
    </w:pPr>
  </w:p>
  <w:p w14:paraId="7FD2EFAC" w14:textId="77777777" w:rsidR="00ED57B1" w:rsidRDefault="00ED57B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7709071"/>
      <w:docPartObj>
        <w:docPartGallery w:val="Page Numbers (Bottom of Page)"/>
        <w:docPartUnique/>
      </w:docPartObj>
    </w:sdtPr>
    <w:sdtEndPr/>
    <w:sdtContent>
      <w:p w14:paraId="47186B95" w14:textId="77777777" w:rsidR="00ED57B1" w:rsidRDefault="00ED57B1">
        <w:pPr>
          <w:pStyle w:val="Piedepgina"/>
          <w:jc w:val="right"/>
        </w:pPr>
        <w:r>
          <w:fldChar w:fldCharType="begin"/>
        </w:r>
        <w:r>
          <w:instrText>PAGE   \* MERGEFORMAT</w:instrText>
        </w:r>
        <w:r>
          <w:fldChar w:fldCharType="separate"/>
        </w:r>
        <w:r>
          <w:t>2</w:t>
        </w:r>
        <w:r>
          <w:fldChar w:fldCharType="end"/>
        </w:r>
      </w:p>
    </w:sdtContent>
  </w:sdt>
  <w:p w14:paraId="0EE40D6C" w14:textId="77777777" w:rsidR="00ED57B1" w:rsidRDefault="00ED57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FAACC8" w14:textId="77777777" w:rsidR="007E54F3" w:rsidRDefault="007E54F3" w:rsidP="00EF1074">
      <w:pPr>
        <w:spacing w:after="0" w:line="240" w:lineRule="auto"/>
      </w:pPr>
      <w:r>
        <w:separator/>
      </w:r>
    </w:p>
  </w:footnote>
  <w:footnote w:type="continuationSeparator" w:id="0">
    <w:p w14:paraId="090C224E" w14:textId="77777777" w:rsidR="007E54F3" w:rsidRDefault="007E54F3" w:rsidP="00EF10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7D5187" w14:textId="77777777" w:rsidR="00ED57B1" w:rsidRDefault="00ED57B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359CD"/>
    <w:multiLevelType w:val="multilevel"/>
    <w:tmpl w:val="9698CBEA"/>
    <w:lvl w:ilvl="0">
      <w:start w:val="1"/>
      <w:numFmt w:val="decimal"/>
      <w:lvlText w:val="%1"/>
      <w:lvlJc w:val="left"/>
      <w:pPr>
        <w:ind w:left="660" w:hanging="660"/>
      </w:pPr>
      <w:rPr>
        <w:rFonts w:hint="default"/>
      </w:rPr>
    </w:lvl>
    <w:lvl w:ilvl="1">
      <w:start w:val="5"/>
      <w:numFmt w:val="decimal"/>
      <w:lvlText w:val="%1.%2"/>
      <w:lvlJc w:val="left"/>
      <w:pPr>
        <w:ind w:left="1201" w:hanging="660"/>
      </w:pPr>
      <w:rPr>
        <w:rFonts w:hint="default"/>
      </w:rPr>
    </w:lvl>
    <w:lvl w:ilvl="2">
      <w:start w:val="4"/>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6128" w:hanging="1800"/>
      </w:pPr>
      <w:rPr>
        <w:rFonts w:hint="default"/>
      </w:rPr>
    </w:lvl>
  </w:abstractNum>
  <w:abstractNum w:abstractNumId="1" w15:restartNumberingAfterBreak="0">
    <w:nsid w:val="08CF0CF5"/>
    <w:multiLevelType w:val="hybridMultilevel"/>
    <w:tmpl w:val="6D82B580"/>
    <w:lvl w:ilvl="0" w:tplc="24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DC911F5"/>
    <w:multiLevelType w:val="hybridMultilevel"/>
    <w:tmpl w:val="0A2811D8"/>
    <w:lvl w:ilvl="0" w:tplc="240A0001">
      <w:start w:val="1"/>
      <w:numFmt w:val="bullet"/>
      <w:lvlText w:val=""/>
      <w:lvlJc w:val="left"/>
      <w:pPr>
        <w:ind w:left="1020" w:hanging="360"/>
      </w:pPr>
      <w:rPr>
        <w:rFonts w:ascii="Symbol" w:hAnsi="Symbol" w:hint="default"/>
      </w:rPr>
    </w:lvl>
    <w:lvl w:ilvl="1" w:tplc="580A0003" w:tentative="1">
      <w:start w:val="1"/>
      <w:numFmt w:val="bullet"/>
      <w:lvlText w:val="o"/>
      <w:lvlJc w:val="left"/>
      <w:pPr>
        <w:ind w:left="1740" w:hanging="360"/>
      </w:pPr>
      <w:rPr>
        <w:rFonts w:ascii="Courier New" w:hAnsi="Courier New" w:cs="Courier New" w:hint="default"/>
      </w:rPr>
    </w:lvl>
    <w:lvl w:ilvl="2" w:tplc="580A0005" w:tentative="1">
      <w:start w:val="1"/>
      <w:numFmt w:val="bullet"/>
      <w:lvlText w:val=""/>
      <w:lvlJc w:val="left"/>
      <w:pPr>
        <w:ind w:left="2460" w:hanging="360"/>
      </w:pPr>
      <w:rPr>
        <w:rFonts w:ascii="Wingdings" w:hAnsi="Wingdings" w:hint="default"/>
      </w:rPr>
    </w:lvl>
    <w:lvl w:ilvl="3" w:tplc="580A0001" w:tentative="1">
      <w:start w:val="1"/>
      <w:numFmt w:val="bullet"/>
      <w:lvlText w:val=""/>
      <w:lvlJc w:val="left"/>
      <w:pPr>
        <w:ind w:left="3180" w:hanging="360"/>
      </w:pPr>
      <w:rPr>
        <w:rFonts w:ascii="Symbol" w:hAnsi="Symbol" w:hint="default"/>
      </w:rPr>
    </w:lvl>
    <w:lvl w:ilvl="4" w:tplc="580A0003" w:tentative="1">
      <w:start w:val="1"/>
      <w:numFmt w:val="bullet"/>
      <w:lvlText w:val="o"/>
      <w:lvlJc w:val="left"/>
      <w:pPr>
        <w:ind w:left="3900" w:hanging="360"/>
      </w:pPr>
      <w:rPr>
        <w:rFonts w:ascii="Courier New" w:hAnsi="Courier New" w:cs="Courier New" w:hint="default"/>
      </w:rPr>
    </w:lvl>
    <w:lvl w:ilvl="5" w:tplc="580A0005" w:tentative="1">
      <w:start w:val="1"/>
      <w:numFmt w:val="bullet"/>
      <w:lvlText w:val=""/>
      <w:lvlJc w:val="left"/>
      <w:pPr>
        <w:ind w:left="4620" w:hanging="360"/>
      </w:pPr>
      <w:rPr>
        <w:rFonts w:ascii="Wingdings" w:hAnsi="Wingdings" w:hint="default"/>
      </w:rPr>
    </w:lvl>
    <w:lvl w:ilvl="6" w:tplc="580A0001" w:tentative="1">
      <w:start w:val="1"/>
      <w:numFmt w:val="bullet"/>
      <w:lvlText w:val=""/>
      <w:lvlJc w:val="left"/>
      <w:pPr>
        <w:ind w:left="5340" w:hanging="360"/>
      </w:pPr>
      <w:rPr>
        <w:rFonts w:ascii="Symbol" w:hAnsi="Symbol" w:hint="default"/>
      </w:rPr>
    </w:lvl>
    <w:lvl w:ilvl="7" w:tplc="580A0003" w:tentative="1">
      <w:start w:val="1"/>
      <w:numFmt w:val="bullet"/>
      <w:lvlText w:val="o"/>
      <w:lvlJc w:val="left"/>
      <w:pPr>
        <w:ind w:left="6060" w:hanging="360"/>
      </w:pPr>
      <w:rPr>
        <w:rFonts w:ascii="Courier New" w:hAnsi="Courier New" w:cs="Courier New" w:hint="default"/>
      </w:rPr>
    </w:lvl>
    <w:lvl w:ilvl="8" w:tplc="580A0005" w:tentative="1">
      <w:start w:val="1"/>
      <w:numFmt w:val="bullet"/>
      <w:lvlText w:val=""/>
      <w:lvlJc w:val="left"/>
      <w:pPr>
        <w:ind w:left="6780" w:hanging="360"/>
      </w:pPr>
      <w:rPr>
        <w:rFonts w:ascii="Wingdings" w:hAnsi="Wingdings" w:hint="default"/>
      </w:rPr>
    </w:lvl>
  </w:abstractNum>
  <w:abstractNum w:abstractNumId="3" w15:restartNumberingAfterBreak="0">
    <w:nsid w:val="11A63365"/>
    <w:multiLevelType w:val="multilevel"/>
    <w:tmpl w:val="EFA88E7A"/>
    <w:lvl w:ilvl="0">
      <w:start w:val="3"/>
      <w:numFmt w:val="decimal"/>
      <w:lvlText w:val="%1."/>
      <w:lvlJc w:val="left"/>
      <w:pPr>
        <w:ind w:left="480" w:hanging="480"/>
      </w:pPr>
      <w:rPr>
        <w:rFonts w:hint="default"/>
      </w:rPr>
    </w:lvl>
    <w:lvl w:ilvl="1">
      <w:start w:val="7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3FA2059"/>
    <w:multiLevelType w:val="multilevel"/>
    <w:tmpl w:val="941691C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1004"/>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1EE60916"/>
    <w:multiLevelType w:val="multilevel"/>
    <w:tmpl w:val="9DDEE8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A944BF"/>
    <w:multiLevelType w:val="multilevel"/>
    <w:tmpl w:val="48C2867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27AC18F2"/>
    <w:multiLevelType w:val="multilevel"/>
    <w:tmpl w:val="DA6A9C9E"/>
    <w:lvl w:ilvl="0">
      <w:start w:val="1"/>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28520C78"/>
    <w:multiLevelType w:val="multilevel"/>
    <w:tmpl w:val="1B3E6D8C"/>
    <w:lvl w:ilvl="0">
      <w:start w:val="2"/>
      <w:numFmt w:val="decimal"/>
      <w:lvlText w:val="%1"/>
      <w:lvlJc w:val="left"/>
      <w:pPr>
        <w:ind w:left="480" w:hanging="480"/>
      </w:pPr>
      <w:rPr>
        <w:rFonts w:eastAsia="Arial" w:cs="Arial" w:hint="default"/>
      </w:rPr>
    </w:lvl>
    <w:lvl w:ilvl="1">
      <w:start w:val="2"/>
      <w:numFmt w:val="decimal"/>
      <w:lvlText w:val="%1.%2"/>
      <w:lvlJc w:val="left"/>
      <w:pPr>
        <w:ind w:left="480" w:hanging="480"/>
      </w:pPr>
      <w:rPr>
        <w:rFonts w:eastAsia="Arial" w:cs="Arial" w:hint="default"/>
      </w:rPr>
    </w:lvl>
    <w:lvl w:ilvl="2">
      <w:start w:val="3"/>
      <w:numFmt w:val="decimal"/>
      <w:lvlText w:val="%1.%2.%3"/>
      <w:lvlJc w:val="left"/>
      <w:pPr>
        <w:ind w:left="720" w:hanging="720"/>
      </w:pPr>
      <w:rPr>
        <w:rFonts w:eastAsia="Arial" w:cs="Arial" w:hint="default"/>
      </w:rPr>
    </w:lvl>
    <w:lvl w:ilvl="3">
      <w:start w:val="1"/>
      <w:numFmt w:val="decimal"/>
      <w:lvlText w:val="%1.%2.%3.%4"/>
      <w:lvlJc w:val="left"/>
      <w:pPr>
        <w:ind w:left="720" w:hanging="720"/>
      </w:pPr>
      <w:rPr>
        <w:rFonts w:eastAsia="Arial" w:cs="Arial" w:hint="default"/>
      </w:rPr>
    </w:lvl>
    <w:lvl w:ilvl="4">
      <w:start w:val="1"/>
      <w:numFmt w:val="decimal"/>
      <w:lvlText w:val="%1.%2.%3.%4.%5"/>
      <w:lvlJc w:val="left"/>
      <w:pPr>
        <w:ind w:left="1080" w:hanging="1080"/>
      </w:pPr>
      <w:rPr>
        <w:rFonts w:eastAsia="Arial" w:cs="Arial" w:hint="default"/>
      </w:rPr>
    </w:lvl>
    <w:lvl w:ilvl="5">
      <w:start w:val="1"/>
      <w:numFmt w:val="decimal"/>
      <w:lvlText w:val="%1.%2.%3.%4.%5.%6"/>
      <w:lvlJc w:val="left"/>
      <w:pPr>
        <w:ind w:left="1080" w:hanging="1080"/>
      </w:pPr>
      <w:rPr>
        <w:rFonts w:eastAsia="Arial" w:cs="Arial" w:hint="default"/>
      </w:rPr>
    </w:lvl>
    <w:lvl w:ilvl="6">
      <w:start w:val="1"/>
      <w:numFmt w:val="decimal"/>
      <w:lvlText w:val="%1.%2.%3.%4.%5.%6.%7"/>
      <w:lvlJc w:val="left"/>
      <w:pPr>
        <w:ind w:left="1440" w:hanging="1440"/>
      </w:pPr>
      <w:rPr>
        <w:rFonts w:eastAsia="Arial" w:cs="Arial" w:hint="default"/>
      </w:rPr>
    </w:lvl>
    <w:lvl w:ilvl="7">
      <w:start w:val="1"/>
      <w:numFmt w:val="decimal"/>
      <w:lvlText w:val="%1.%2.%3.%4.%5.%6.%7.%8"/>
      <w:lvlJc w:val="left"/>
      <w:pPr>
        <w:ind w:left="1440" w:hanging="1440"/>
      </w:pPr>
      <w:rPr>
        <w:rFonts w:eastAsia="Arial" w:cs="Arial" w:hint="default"/>
      </w:rPr>
    </w:lvl>
    <w:lvl w:ilvl="8">
      <w:start w:val="1"/>
      <w:numFmt w:val="decimal"/>
      <w:lvlText w:val="%1.%2.%3.%4.%5.%6.%7.%8.%9"/>
      <w:lvlJc w:val="left"/>
      <w:pPr>
        <w:ind w:left="1800" w:hanging="1800"/>
      </w:pPr>
      <w:rPr>
        <w:rFonts w:eastAsia="Arial" w:cs="Arial" w:hint="default"/>
      </w:rPr>
    </w:lvl>
  </w:abstractNum>
  <w:abstractNum w:abstractNumId="9" w15:restartNumberingAfterBreak="0">
    <w:nsid w:val="32801430"/>
    <w:multiLevelType w:val="multilevel"/>
    <w:tmpl w:val="6DAE2608"/>
    <w:styleLink w:val="Estilo1"/>
    <w:lvl w:ilvl="0">
      <w:start w:val="1"/>
      <w:numFmt w:val="decimal"/>
      <w:lvlText w:val="%1"/>
      <w:lvlJc w:val="left"/>
      <w:pPr>
        <w:ind w:left="0" w:firstLine="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42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0" w15:restartNumberingAfterBreak="0">
    <w:nsid w:val="3733646E"/>
    <w:multiLevelType w:val="hybridMultilevel"/>
    <w:tmpl w:val="4E7E87E2"/>
    <w:lvl w:ilvl="0" w:tplc="240A0001">
      <w:start w:val="1"/>
      <w:numFmt w:val="bullet"/>
      <w:lvlText w:val=""/>
      <w:lvlJc w:val="left"/>
      <w:pPr>
        <w:ind w:left="1701" w:hanging="360"/>
      </w:pPr>
      <w:rPr>
        <w:rFonts w:ascii="Symbol" w:hAnsi="Symbol" w:hint="default"/>
      </w:rPr>
    </w:lvl>
    <w:lvl w:ilvl="1" w:tplc="580A0003" w:tentative="1">
      <w:start w:val="1"/>
      <w:numFmt w:val="bullet"/>
      <w:lvlText w:val="o"/>
      <w:lvlJc w:val="left"/>
      <w:pPr>
        <w:ind w:left="2421" w:hanging="360"/>
      </w:pPr>
      <w:rPr>
        <w:rFonts w:ascii="Courier New" w:hAnsi="Courier New" w:cs="Courier New" w:hint="default"/>
      </w:rPr>
    </w:lvl>
    <w:lvl w:ilvl="2" w:tplc="580A0005" w:tentative="1">
      <w:start w:val="1"/>
      <w:numFmt w:val="bullet"/>
      <w:lvlText w:val=""/>
      <w:lvlJc w:val="left"/>
      <w:pPr>
        <w:ind w:left="3141" w:hanging="360"/>
      </w:pPr>
      <w:rPr>
        <w:rFonts w:ascii="Wingdings" w:hAnsi="Wingdings" w:hint="default"/>
      </w:rPr>
    </w:lvl>
    <w:lvl w:ilvl="3" w:tplc="580A0001" w:tentative="1">
      <w:start w:val="1"/>
      <w:numFmt w:val="bullet"/>
      <w:lvlText w:val=""/>
      <w:lvlJc w:val="left"/>
      <w:pPr>
        <w:ind w:left="3861" w:hanging="360"/>
      </w:pPr>
      <w:rPr>
        <w:rFonts w:ascii="Symbol" w:hAnsi="Symbol" w:hint="default"/>
      </w:rPr>
    </w:lvl>
    <w:lvl w:ilvl="4" w:tplc="580A0003" w:tentative="1">
      <w:start w:val="1"/>
      <w:numFmt w:val="bullet"/>
      <w:lvlText w:val="o"/>
      <w:lvlJc w:val="left"/>
      <w:pPr>
        <w:ind w:left="4581" w:hanging="360"/>
      </w:pPr>
      <w:rPr>
        <w:rFonts w:ascii="Courier New" w:hAnsi="Courier New" w:cs="Courier New" w:hint="default"/>
      </w:rPr>
    </w:lvl>
    <w:lvl w:ilvl="5" w:tplc="580A0005" w:tentative="1">
      <w:start w:val="1"/>
      <w:numFmt w:val="bullet"/>
      <w:lvlText w:val=""/>
      <w:lvlJc w:val="left"/>
      <w:pPr>
        <w:ind w:left="5301" w:hanging="360"/>
      </w:pPr>
      <w:rPr>
        <w:rFonts w:ascii="Wingdings" w:hAnsi="Wingdings" w:hint="default"/>
      </w:rPr>
    </w:lvl>
    <w:lvl w:ilvl="6" w:tplc="580A0001" w:tentative="1">
      <w:start w:val="1"/>
      <w:numFmt w:val="bullet"/>
      <w:lvlText w:val=""/>
      <w:lvlJc w:val="left"/>
      <w:pPr>
        <w:ind w:left="6021" w:hanging="360"/>
      </w:pPr>
      <w:rPr>
        <w:rFonts w:ascii="Symbol" w:hAnsi="Symbol" w:hint="default"/>
      </w:rPr>
    </w:lvl>
    <w:lvl w:ilvl="7" w:tplc="580A0003" w:tentative="1">
      <w:start w:val="1"/>
      <w:numFmt w:val="bullet"/>
      <w:lvlText w:val="o"/>
      <w:lvlJc w:val="left"/>
      <w:pPr>
        <w:ind w:left="6741" w:hanging="360"/>
      </w:pPr>
      <w:rPr>
        <w:rFonts w:ascii="Courier New" w:hAnsi="Courier New" w:cs="Courier New" w:hint="default"/>
      </w:rPr>
    </w:lvl>
    <w:lvl w:ilvl="8" w:tplc="580A0005" w:tentative="1">
      <w:start w:val="1"/>
      <w:numFmt w:val="bullet"/>
      <w:lvlText w:val=""/>
      <w:lvlJc w:val="left"/>
      <w:pPr>
        <w:ind w:left="7461" w:hanging="360"/>
      </w:pPr>
      <w:rPr>
        <w:rFonts w:ascii="Wingdings" w:hAnsi="Wingdings" w:hint="default"/>
      </w:rPr>
    </w:lvl>
  </w:abstractNum>
  <w:abstractNum w:abstractNumId="11" w15:restartNumberingAfterBreak="0">
    <w:nsid w:val="37DD6512"/>
    <w:multiLevelType w:val="multilevel"/>
    <w:tmpl w:val="392EE3D8"/>
    <w:lvl w:ilvl="0">
      <w:start w:val="2"/>
      <w:numFmt w:val="decimal"/>
      <w:lvlText w:val="%1"/>
      <w:lvlJc w:val="left"/>
      <w:pPr>
        <w:ind w:left="360" w:hanging="360"/>
      </w:pPr>
      <w:rPr>
        <w:rFonts w:cs="Calibri" w:hint="default"/>
      </w:rPr>
    </w:lvl>
    <w:lvl w:ilvl="1">
      <w:start w:val="1"/>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520" w:hanging="108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600" w:hanging="144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680" w:hanging="1800"/>
      </w:pPr>
      <w:rPr>
        <w:rFonts w:cs="Calibri" w:hint="default"/>
      </w:rPr>
    </w:lvl>
  </w:abstractNum>
  <w:abstractNum w:abstractNumId="12" w15:restartNumberingAfterBreak="0">
    <w:nsid w:val="383D3DC0"/>
    <w:multiLevelType w:val="multilevel"/>
    <w:tmpl w:val="78C20A32"/>
    <w:lvl w:ilvl="0">
      <w:start w:val="3"/>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3AFC071A"/>
    <w:multiLevelType w:val="multilevel"/>
    <w:tmpl w:val="31D2D58C"/>
    <w:lvl w:ilvl="0">
      <w:start w:val="2"/>
      <w:numFmt w:val="decimal"/>
      <w:lvlText w:val="%1"/>
      <w:lvlJc w:val="left"/>
      <w:pPr>
        <w:ind w:left="480" w:hanging="480"/>
      </w:pPr>
      <w:rPr>
        <w:rFonts w:hint="default"/>
      </w:rPr>
    </w:lvl>
    <w:lvl w:ilvl="1">
      <w:start w:val="1"/>
      <w:numFmt w:val="decimal"/>
      <w:lvlText w:val="%1.%2"/>
      <w:lvlJc w:val="left"/>
      <w:pPr>
        <w:ind w:left="763" w:hanging="480"/>
      </w:pPr>
      <w:rPr>
        <w:rFonts w:hint="default"/>
      </w:rPr>
    </w:lvl>
    <w:lvl w:ilvl="2">
      <w:start w:val="8"/>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DD268C4"/>
    <w:multiLevelType w:val="hybridMultilevel"/>
    <w:tmpl w:val="7D3CE514"/>
    <w:lvl w:ilvl="0" w:tplc="240A0001">
      <w:start w:val="1"/>
      <w:numFmt w:val="bullet"/>
      <w:lvlText w:val=""/>
      <w:lvlJc w:val="left"/>
      <w:pPr>
        <w:ind w:left="2444" w:hanging="360"/>
      </w:pPr>
      <w:rPr>
        <w:rFonts w:ascii="Symbol" w:hAnsi="Symbol" w:hint="default"/>
      </w:rPr>
    </w:lvl>
    <w:lvl w:ilvl="1" w:tplc="E0CC6C54">
      <w:numFmt w:val="bullet"/>
      <w:lvlText w:val="•"/>
      <w:lvlJc w:val="left"/>
      <w:pPr>
        <w:ind w:left="3164" w:hanging="360"/>
      </w:pPr>
      <w:rPr>
        <w:rFonts w:ascii="Arial" w:eastAsia="Arial" w:hAnsi="Arial" w:cs="Arial" w:hint="default"/>
      </w:rPr>
    </w:lvl>
    <w:lvl w:ilvl="2" w:tplc="580A0005" w:tentative="1">
      <w:start w:val="1"/>
      <w:numFmt w:val="bullet"/>
      <w:lvlText w:val=""/>
      <w:lvlJc w:val="left"/>
      <w:pPr>
        <w:ind w:left="3884" w:hanging="360"/>
      </w:pPr>
      <w:rPr>
        <w:rFonts w:ascii="Wingdings" w:hAnsi="Wingdings" w:hint="default"/>
      </w:rPr>
    </w:lvl>
    <w:lvl w:ilvl="3" w:tplc="580A0001" w:tentative="1">
      <w:start w:val="1"/>
      <w:numFmt w:val="bullet"/>
      <w:lvlText w:val=""/>
      <w:lvlJc w:val="left"/>
      <w:pPr>
        <w:ind w:left="4604" w:hanging="360"/>
      </w:pPr>
      <w:rPr>
        <w:rFonts w:ascii="Symbol" w:hAnsi="Symbol" w:hint="default"/>
      </w:rPr>
    </w:lvl>
    <w:lvl w:ilvl="4" w:tplc="580A0003" w:tentative="1">
      <w:start w:val="1"/>
      <w:numFmt w:val="bullet"/>
      <w:lvlText w:val="o"/>
      <w:lvlJc w:val="left"/>
      <w:pPr>
        <w:ind w:left="5324" w:hanging="360"/>
      </w:pPr>
      <w:rPr>
        <w:rFonts w:ascii="Courier New" w:hAnsi="Courier New" w:cs="Courier New" w:hint="default"/>
      </w:rPr>
    </w:lvl>
    <w:lvl w:ilvl="5" w:tplc="580A0005" w:tentative="1">
      <w:start w:val="1"/>
      <w:numFmt w:val="bullet"/>
      <w:lvlText w:val=""/>
      <w:lvlJc w:val="left"/>
      <w:pPr>
        <w:ind w:left="6044" w:hanging="360"/>
      </w:pPr>
      <w:rPr>
        <w:rFonts w:ascii="Wingdings" w:hAnsi="Wingdings" w:hint="default"/>
      </w:rPr>
    </w:lvl>
    <w:lvl w:ilvl="6" w:tplc="580A0001" w:tentative="1">
      <w:start w:val="1"/>
      <w:numFmt w:val="bullet"/>
      <w:lvlText w:val=""/>
      <w:lvlJc w:val="left"/>
      <w:pPr>
        <w:ind w:left="6764" w:hanging="360"/>
      </w:pPr>
      <w:rPr>
        <w:rFonts w:ascii="Symbol" w:hAnsi="Symbol" w:hint="default"/>
      </w:rPr>
    </w:lvl>
    <w:lvl w:ilvl="7" w:tplc="580A0003" w:tentative="1">
      <w:start w:val="1"/>
      <w:numFmt w:val="bullet"/>
      <w:lvlText w:val="o"/>
      <w:lvlJc w:val="left"/>
      <w:pPr>
        <w:ind w:left="7484" w:hanging="360"/>
      </w:pPr>
      <w:rPr>
        <w:rFonts w:ascii="Courier New" w:hAnsi="Courier New" w:cs="Courier New" w:hint="default"/>
      </w:rPr>
    </w:lvl>
    <w:lvl w:ilvl="8" w:tplc="580A0005" w:tentative="1">
      <w:start w:val="1"/>
      <w:numFmt w:val="bullet"/>
      <w:lvlText w:val=""/>
      <w:lvlJc w:val="left"/>
      <w:pPr>
        <w:ind w:left="8204" w:hanging="360"/>
      </w:pPr>
      <w:rPr>
        <w:rFonts w:ascii="Wingdings" w:hAnsi="Wingdings" w:hint="default"/>
      </w:rPr>
    </w:lvl>
  </w:abstractNum>
  <w:abstractNum w:abstractNumId="15" w15:restartNumberingAfterBreak="0">
    <w:nsid w:val="42987391"/>
    <w:multiLevelType w:val="multilevel"/>
    <w:tmpl w:val="34F635DE"/>
    <w:lvl w:ilvl="0">
      <w:start w:val="1"/>
      <w:numFmt w:val="decimal"/>
      <w:lvlText w:val="%1."/>
      <w:lvlJc w:val="left"/>
      <w:pPr>
        <w:ind w:left="36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16" w15:restartNumberingAfterBreak="0">
    <w:nsid w:val="447B6E18"/>
    <w:multiLevelType w:val="multilevel"/>
    <w:tmpl w:val="D2CA2E3E"/>
    <w:lvl w:ilvl="0">
      <w:start w:val="3"/>
      <w:numFmt w:val="decimal"/>
      <w:lvlText w:val="%1"/>
      <w:lvlJc w:val="left"/>
      <w:pPr>
        <w:ind w:left="360" w:hanging="360"/>
      </w:pPr>
      <w:rPr>
        <w:rFonts w:hint="default"/>
      </w:rPr>
    </w:lvl>
    <w:lvl w:ilvl="1">
      <w:start w:val="7"/>
      <w:numFmt w:val="decimal"/>
      <w:lvlText w:val="%1.%2"/>
      <w:lvlJc w:val="left"/>
      <w:pPr>
        <w:ind w:left="3054"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76A63C9"/>
    <w:multiLevelType w:val="multilevel"/>
    <w:tmpl w:val="6DAE2608"/>
    <w:numStyleLink w:val="Estilo1"/>
  </w:abstractNum>
  <w:abstractNum w:abstractNumId="18" w15:restartNumberingAfterBreak="0">
    <w:nsid w:val="477F0990"/>
    <w:multiLevelType w:val="multilevel"/>
    <w:tmpl w:val="5156D42C"/>
    <w:lvl w:ilvl="0">
      <w:start w:val="1"/>
      <w:numFmt w:val="decimal"/>
      <w:lvlText w:val="%1."/>
      <w:lvlJc w:val="left"/>
      <w:pPr>
        <w:ind w:left="360" w:hanging="360"/>
      </w:pPr>
    </w:lvl>
    <w:lvl w:ilvl="1">
      <w:start w:val="1"/>
      <w:numFmt w:val="decimal"/>
      <w:lvlText w:val="%1.%2"/>
      <w:lvlJc w:val="left"/>
      <w:pPr>
        <w:ind w:left="765" w:hanging="405"/>
      </w:pPr>
      <w:rPr>
        <w:b/>
        <w:bCs/>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9" w15:restartNumberingAfterBreak="0">
    <w:nsid w:val="4B0A061C"/>
    <w:multiLevelType w:val="hybridMultilevel"/>
    <w:tmpl w:val="2DA81286"/>
    <w:lvl w:ilvl="0" w:tplc="240A0019">
      <w:start w:val="1"/>
      <w:numFmt w:val="lowerLetter"/>
      <w:lvlText w:val="%1."/>
      <w:lvlJc w:val="left"/>
      <w:pPr>
        <w:ind w:left="1800" w:hanging="360"/>
      </w:pPr>
    </w:lvl>
    <w:lvl w:ilvl="1" w:tplc="580A0019" w:tentative="1">
      <w:start w:val="1"/>
      <w:numFmt w:val="lowerLetter"/>
      <w:lvlText w:val="%2."/>
      <w:lvlJc w:val="left"/>
      <w:pPr>
        <w:ind w:left="2520" w:hanging="360"/>
      </w:pPr>
    </w:lvl>
    <w:lvl w:ilvl="2" w:tplc="580A001B" w:tentative="1">
      <w:start w:val="1"/>
      <w:numFmt w:val="lowerRoman"/>
      <w:lvlText w:val="%3."/>
      <w:lvlJc w:val="right"/>
      <w:pPr>
        <w:ind w:left="3240" w:hanging="180"/>
      </w:pPr>
    </w:lvl>
    <w:lvl w:ilvl="3" w:tplc="580A000F" w:tentative="1">
      <w:start w:val="1"/>
      <w:numFmt w:val="decimal"/>
      <w:lvlText w:val="%4."/>
      <w:lvlJc w:val="left"/>
      <w:pPr>
        <w:ind w:left="3960" w:hanging="360"/>
      </w:pPr>
    </w:lvl>
    <w:lvl w:ilvl="4" w:tplc="580A0019" w:tentative="1">
      <w:start w:val="1"/>
      <w:numFmt w:val="lowerLetter"/>
      <w:lvlText w:val="%5."/>
      <w:lvlJc w:val="left"/>
      <w:pPr>
        <w:ind w:left="4680" w:hanging="360"/>
      </w:pPr>
    </w:lvl>
    <w:lvl w:ilvl="5" w:tplc="580A001B" w:tentative="1">
      <w:start w:val="1"/>
      <w:numFmt w:val="lowerRoman"/>
      <w:lvlText w:val="%6."/>
      <w:lvlJc w:val="right"/>
      <w:pPr>
        <w:ind w:left="5400" w:hanging="180"/>
      </w:pPr>
    </w:lvl>
    <w:lvl w:ilvl="6" w:tplc="580A000F" w:tentative="1">
      <w:start w:val="1"/>
      <w:numFmt w:val="decimal"/>
      <w:lvlText w:val="%7."/>
      <w:lvlJc w:val="left"/>
      <w:pPr>
        <w:ind w:left="6120" w:hanging="360"/>
      </w:pPr>
    </w:lvl>
    <w:lvl w:ilvl="7" w:tplc="580A0019" w:tentative="1">
      <w:start w:val="1"/>
      <w:numFmt w:val="lowerLetter"/>
      <w:lvlText w:val="%8."/>
      <w:lvlJc w:val="left"/>
      <w:pPr>
        <w:ind w:left="6840" w:hanging="360"/>
      </w:pPr>
    </w:lvl>
    <w:lvl w:ilvl="8" w:tplc="580A001B" w:tentative="1">
      <w:start w:val="1"/>
      <w:numFmt w:val="lowerRoman"/>
      <w:lvlText w:val="%9."/>
      <w:lvlJc w:val="right"/>
      <w:pPr>
        <w:ind w:left="7560" w:hanging="180"/>
      </w:pPr>
    </w:lvl>
  </w:abstractNum>
  <w:abstractNum w:abstractNumId="20" w15:restartNumberingAfterBreak="0">
    <w:nsid w:val="517E09B5"/>
    <w:multiLevelType w:val="multilevel"/>
    <w:tmpl w:val="941691C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1004"/>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1" w15:restartNumberingAfterBreak="0">
    <w:nsid w:val="51AB4B45"/>
    <w:multiLevelType w:val="multilevel"/>
    <w:tmpl w:val="A3AEBF6C"/>
    <w:lvl w:ilvl="0">
      <w:start w:val="1"/>
      <w:numFmt w:val="decimal"/>
      <w:lvlText w:val="%1"/>
      <w:lvlJc w:val="left"/>
      <w:pPr>
        <w:ind w:left="660" w:hanging="660"/>
      </w:pPr>
      <w:rPr>
        <w:rFonts w:hint="default"/>
      </w:rPr>
    </w:lvl>
    <w:lvl w:ilvl="1">
      <w:start w:val="4"/>
      <w:numFmt w:val="decimal"/>
      <w:lvlText w:val="%1.%2"/>
      <w:lvlJc w:val="left"/>
      <w:pPr>
        <w:ind w:left="1132" w:hanging="660"/>
      </w:pPr>
      <w:rPr>
        <w:rFonts w:hint="default"/>
      </w:rPr>
    </w:lvl>
    <w:lvl w:ilvl="2">
      <w:start w:val="2"/>
      <w:numFmt w:val="decimal"/>
      <w:lvlText w:val="%1.%2.%3"/>
      <w:lvlJc w:val="left"/>
      <w:pPr>
        <w:ind w:left="1664" w:hanging="720"/>
      </w:pPr>
      <w:rPr>
        <w:rFonts w:hint="default"/>
      </w:rPr>
    </w:lvl>
    <w:lvl w:ilvl="3">
      <w:start w:val="5"/>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440" w:hanging="108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4744" w:hanging="1440"/>
      </w:pPr>
      <w:rPr>
        <w:rFonts w:hint="default"/>
      </w:rPr>
    </w:lvl>
    <w:lvl w:ilvl="8">
      <w:start w:val="1"/>
      <w:numFmt w:val="decimal"/>
      <w:lvlText w:val="%1.%2.%3.%4.%5.%6.%7.%8.%9"/>
      <w:lvlJc w:val="left"/>
      <w:pPr>
        <w:ind w:left="5576" w:hanging="1800"/>
      </w:pPr>
      <w:rPr>
        <w:rFonts w:hint="default"/>
      </w:rPr>
    </w:lvl>
  </w:abstractNum>
  <w:abstractNum w:abstractNumId="22" w15:restartNumberingAfterBreak="0">
    <w:nsid w:val="54AD42CC"/>
    <w:multiLevelType w:val="multilevel"/>
    <w:tmpl w:val="DA6A9C9E"/>
    <w:lvl w:ilvl="0">
      <w:start w:val="1"/>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5569561F"/>
    <w:multiLevelType w:val="multilevel"/>
    <w:tmpl w:val="64F6B74C"/>
    <w:lvl w:ilvl="0">
      <w:start w:val="2"/>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A182477"/>
    <w:multiLevelType w:val="hybridMultilevel"/>
    <w:tmpl w:val="4A66C380"/>
    <w:lvl w:ilvl="0" w:tplc="240A0001">
      <w:start w:val="1"/>
      <w:numFmt w:val="bullet"/>
      <w:lvlText w:val=""/>
      <w:lvlJc w:val="left"/>
      <w:pPr>
        <w:ind w:left="2444" w:hanging="360"/>
      </w:pPr>
      <w:rPr>
        <w:rFonts w:ascii="Symbol" w:hAnsi="Symbol" w:hint="default"/>
      </w:rPr>
    </w:lvl>
    <w:lvl w:ilvl="1" w:tplc="580A0003" w:tentative="1">
      <w:start w:val="1"/>
      <w:numFmt w:val="bullet"/>
      <w:lvlText w:val="o"/>
      <w:lvlJc w:val="left"/>
      <w:pPr>
        <w:ind w:left="3164" w:hanging="360"/>
      </w:pPr>
      <w:rPr>
        <w:rFonts w:ascii="Courier New" w:hAnsi="Courier New" w:cs="Courier New" w:hint="default"/>
      </w:rPr>
    </w:lvl>
    <w:lvl w:ilvl="2" w:tplc="580A0005" w:tentative="1">
      <w:start w:val="1"/>
      <w:numFmt w:val="bullet"/>
      <w:lvlText w:val=""/>
      <w:lvlJc w:val="left"/>
      <w:pPr>
        <w:ind w:left="3884" w:hanging="360"/>
      </w:pPr>
      <w:rPr>
        <w:rFonts w:ascii="Wingdings" w:hAnsi="Wingdings" w:hint="default"/>
      </w:rPr>
    </w:lvl>
    <w:lvl w:ilvl="3" w:tplc="580A0001" w:tentative="1">
      <w:start w:val="1"/>
      <w:numFmt w:val="bullet"/>
      <w:lvlText w:val=""/>
      <w:lvlJc w:val="left"/>
      <w:pPr>
        <w:ind w:left="4604" w:hanging="360"/>
      </w:pPr>
      <w:rPr>
        <w:rFonts w:ascii="Symbol" w:hAnsi="Symbol" w:hint="default"/>
      </w:rPr>
    </w:lvl>
    <w:lvl w:ilvl="4" w:tplc="580A0003" w:tentative="1">
      <w:start w:val="1"/>
      <w:numFmt w:val="bullet"/>
      <w:lvlText w:val="o"/>
      <w:lvlJc w:val="left"/>
      <w:pPr>
        <w:ind w:left="5324" w:hanging="360"/>
      </w:pPr>
      <w:rPr>
        <w:rFonts w:ascii="Courier New" w:hAnsi="Courier New" w:cs="Courier New" w:hint="default"/>
      </w:rPr>
    </w:lvl>
    <w:lvl w:ilvl="5" w:tplc="580A0005" w:tentative="1">
      <w:start w:val="1"/>
      <w:numFmt w:val="bullet"/>
      <w:lvlText w:val=""/>
      <w:lvlJc w:val="left"/>
      <w:pPr>
        <w:ind w:left="6044" w:hanging="360"/>
      </w:pPr>
      <w:rPr>
        <w:rFonts w:ascii="Wingdings" w:hAnsi="Wingdings" w:hint="default"/>
      </w:rPr>
    </w:lvl>
    <w:lvl w:ilvl="6" w:tplc="580A0001" w:tentative="1">
      <w:start w:val="1"/>
      <w:numFmt w:val="bullet"/>
      <w:lvlText w:val=""/>
      <w:lvlJc w:val="left"/>
      <w:pPr>
        <w:ind w:left="6764" w:hanging="360"/>
      </w:pPr>
      <w:rPr>
        <w:rFonts w:ascii="Symbol" w:hAnsi="Symbol" w:hint="default"/>
      </w:rPr>
    </w:lvl>
    <w:lvl w:ilvl="7" w:tplc="580A0003" w:tentative="1">
      <w:start w:val="1"/>
      <w:numFmt w:val="bullet"/>
      <w:lvlText w:val="o"/>
      <w:lvlJc w:val="left"/>
      <w:pPr>
        <w:ind w:left="7484" w:hanging="360"/>
      </w:pPr>
      <w:rPr>
        <w:rFonts w:ascii="Courier New" w:hAnsi="Courier New" w:cs="Courier New" w:hint="default"/>
      </w:rPr>
    </w:lvl>
    <w:lvl w:ilvl="8" w:tplc="580A0005" w:tentative="1">
      <w:start w:val="1"/>
      <w:numFmt w:val="bullet"/>
      <w:lvlText w:val=""/>
      <w:lvlJc w:val="left"/>
      <w:pPr>
        <w:ind w:left="8204" w:hanging="360"/>
      </w:pPr>
      <w:rPr>
        <w:rFonts w:ascii="Wingdings" w:hAnsi="Wingdings" w:hint="default"/>
      </w:rPr>
    </w:lvl>
  </w:abstractNum>
  <w:abstractNum w:abstractNumId="25" w15:restartNumberingAfterBreak="0">
    <w:nsid w:val="5B3A7E6E"/>
    <w:multiLevelType w:val="multilevel"/>
    <w:tmpl w:val="13C84B3A"/>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6" w15:restartNumberingAfterBreak="0">
    <w:nsid w:val="5E774B5C"/>
    <w:multiLevelType w:val="hybridMultilevel"/>
    <w:tmpl w:val="84B81514"/>
    <w:lvl w:ilvl="0" w:tplc="240A0001">
      <w:start w:val="1"/>
      <w:numFmt w:val="bullet"/>
      <w:lvlText w:val=""/>
      <w:lvlJc w:val="left"/>
      <w:pPr>
        <w:ind w:left="2715" w:hanging="360"/>
      </w:pPr>
      <w:rPr>
        <w:rFonts w:ascii="Symbol" w:hAnsi="Symbol" w:hint="default"/>
      </w:rPr>
    </w:lvl>
    <w:lvl w:ilvl="1" w:tplc="580A0003" w:tentative="1">
      <w:start w:val="1"/>
      <w:numFmt w:val="bullet"/>
      <w:lvlText w:val="o"/>
      <w:lvlJc w:val="left"/>
      <w:pPr>
        <w:ind w:left="3435" w:hanging="360"/>
      </w:pPr>
      <w:rPr>
        <w:rFonts w:ascii="Courier New" w:hAnsi="Courier New" w:cs="Courier New" w:hint="default"/>
      </w:rPr>
    </w:lvl>
    <w:lvl w:ilvl="2" w:tplc="580A0005" w:tentative="1">
      <w:start w:val="1"/>
      <w:numFmt w:val="bullet"/>
      <w:lvlText w:val=""/>
      <w:lvlJc w:val="left"/>
      <w:pPr>
        <w:ind w:left="4155" w:hanging="360"/>
      </w:pPr>
      <w:rPr>
        <w:rFonts w:ascii="Wingdings" w:hAnsi="Wingdings" w:hint="default"/>
      </w:rPr>
    </w:lvl>
    <w:lvl w:ilvl="3" w:tplc="580A0001" w:tentative="1">
      <w:start w:val="1"/>
      <w:numFmt w:val="bullet"/>
      <w:lvlText w:val=""/>
      <w:lvlJc w:val="left"/>
      <w:pPr>
        <w:ind w:left="4875" w:hanging="360"/>
      </w:pPr>
      <w:rPr>
        <w:rFonts w:ascii="Symbol" w:hAnsi="Symbol" w:hint="default"/>
      </w:rPr>
    </w:lvl>
    <w:lvl w:ilvl="4" w:tplc="580A0003" w:tentative="1">
      <w:start w:val="1"/>
      <w:numFmt w:val="bullet"/>
      <w:lvlText w:val="o"/>
      <w:lvlJc w:val="left"/>
      <w:pPr>
        <w:ind w:left="5595" w:hanging="360"/>
      </w:pPr>
      <w:rPr>
        <w:rFonts w:ascii="Courier New" w:hAnsi="Courier New" w:cs="Courier New" w:hint="default"/>
      </w:rPr>
    </w:lvl>
    <w:lvl w:ilvl="5" w:tplc="580A0005" w:tentative="1">
      <w:start w:val="1"/>
      <w:numFmt w:val="bullet"/>
      <w:lvlText w:val=""/>
      <w:lvlJc w:val="left"/>
      <w:pPr>
        <w:ind w:left="6315" w:hanging="360"/>
      </w:pPr>
      <w:rPr>
        <w:rFonts w:ascii="Wingdings" w:hAnsi="Wingdings" w:hint="default"/>
      </w:rPr>
    </w:lvl>
    <w:lvl w:ilvl="6" w:tplc="580A0001" w:tentative="1">
      <w:start w:val="1"/>
      <w:numFmt w:val="bullet"/>
      <w:lvlText w:val=""/>
      <w:lvlJc w:val="left"/>
      <w:pPr>
        <w:ind w:left="7035" w:hanging="360"/>
      </w:pPr>
      <w:rPr>
        <w:rFonts w:ascii="Symbol" w:hAnsi="Symbol" w:hint="default"/>
      </w:rPr>
    </w:lvl>
    <w:lvl w:ilvl="7" w:tplc="580A0003" w:tentative="1">
      <w:start w:val="1"/>
      <w:numFmt w:val="bullet"/>
      <w:lvlText w:val="o"/>
      <w:lvlJc w:val="left"/>
      <w:pPr>
        <w:ind w:left="7755" w:hanging="360"/>
      </w:pPr>
      <w:rPr>
        <w:rFonts w:ascii="Courier New" w:hAnsi="Courier New" w:cs="Courier New" w:hint="default"/>
      </w:rPr>
    </w:lvl>
    <w:lvl w:ilvl="8" w:tplc="580A0005" w:tentative="1">
      <w:start w:val="1"/>
      <w:numFmt w:val="bullet"/>
      <w:lvlText w:val=""/>
      <w:lvlJc w:val="left"/>
      <w:pPr>
        <w:ind w:left="8475" w:hanging="360"/>
      </w:pPr>
      <w:rPr>
        <w:rFonts w:ascii="Wingdings" w:hAnsi="Wingdings" w:hint="default"/>
      </w:rPr>
    </w:lvl>
  </w:abstractNum>
  <w:abstractNum w:abstractNumId="27" w15:restartNumberingAfterBreak="0">
    <w:nsid w:val="60AC6708"/>
    <w:multiLevelType w:val="hybridMultilevel"/>
    <w:tmpl w:val="B9D0DCF6"/>
    <w:lvl w:ilvl="0" w:tplc="240A0001">
      <w:start w:val="1"/>
      <w:numFmt w:val="bullet"/>
      <w:lvlText w:val=""/>
      <w:lvlJc w:val="left"/>
      <w:pPr>
        <w:ind w:left="1341" w:hanging="360"/>
      </w:pPr>
      <w:rPr>
        <w:rFonts w:ascii="Symbol" w:hAnsi="Symbol" w:hint="default"/>
      </w:rPr>
    </w:lvl>
    <w:lvl w:ilvl="1" w:tplc="580A0003" w:tentative="1">
      <w:start w:val="1"/>
      <w:numFmt w:val="bullet"/>
      <w:lvlText w:val="o"/>
      <w:lvlJc w:val="left"/>
      <w:pPr>
        <w:ind w:left="2061" w:hanging="360"/>
      </w:pPr>
      <w:rPr>
        <w:rFonts w:ascii="Courier New" w:hAnsi="Courier New" w:cs="Courier New" w:hint="default"/>
      </w:rPr>
    </w:lvl>
    <w:lvl w:ilvl="2" w:tplc="580A0005" w:tentative="1">
      <w:start w:val="1"/>
      <w:numFmt w:val="bullet"/>
      <w:lvlText w:val=""/>
      <w:lvlJc w:val="left"/>
      <w:pPr>
        <w:ind w:left="2781" w:hanging="360"/>
      </w:pPr>
      <w:rPr>
        <w:rFonts w:ascii="Wingdings" w:hAnsi="Wingdings" w:hint="default"/>
      </w:rPr>
    </w:lvl>
    <w:lvl w:ilvl="3" w:tplc="580A0001" w:tentative="1">
      <w:start w:val="1"/>
      <w:numFmt w:val="bullet"/>
      <w:lvlText w:val=""/>
      <w:lvlJc w:val="left"/>
      <w:pPr>
        <w:ind w:left="3501" w:hanging="360"/>
      </w:pPr>
      <w:rPr>
        <w:rFonts w:ascii="Symbol" w:hAnsi="Symbol" w:hint="default"/>
      </w:rPr>
    </w:lvl>
    <w:lvl w:ilvl="4" w:tplc="580A0003" w:tentative="1">
      <w:start w:val="1"/>
      <w:numFmt w:val="bullet"/>
      <w:lvlText w:val="o"/>
      <w:lvlJc w:val="left"/>
      <w:pPr>
        <w:ind w:left="4221" w:hanging="360"/>
      </w:pPr>
      <w:rPr>
        <w:rFonts w:ascii="Courier New" w:hAnsi="Courier New" w:cs="Courier New" w:hint="default"/>
      </w:rPr>
    </w:lvl>
    <w:lvl w:ilvl="5" w:tplc="580A0005" w:tentative="1">
      <w:start w:val="1"/>
      <w:numFmt w:val="bullet"/>
      <w:lvlText w:val=""/>
      <w:lvlJc w:val="left"/>
      <w:pPr>
        <w:ind w:left="4941" w:hanging="360"/>
      </w:pPr>
      <w:rPr>
        <w:rFonts w:ascii="Wingdings" w:hAnsi="Wingdings" w:hint="default"/>
      </w:rPr>
    </w:lvl>
    <w:lvl w:ilvl="6" w:tplc="580A0001" w:tentative="1">
      <w:start w:val="1"/>
      <w:numFmt w:val="bullet"/>
      <w:lvlText w:val=""/>
      <w:lvlJc w:val="left"/>
      <w:pPr>
        <w:ind w:left="5661" w:hanging="360"/>
      </w:pPr>
      <w:rPr>
        <w:rFonts w:ascii="Symbol" w:hAnsi="Symbol" w:hint="default"/>
      </w:rPr>
    </w:lvl>
    <w:lvl w:ilvl="7" w:tplc="580A0003" w:tentative="1">
      <w:start w:val="1"/>
      <w:numFmt w:val="bullet"/>
      <w:lvlText w:val="o"/>
      <w:lvlJc w:val="left"/>
      <w:pPr>
        <w:ind w:left="6381" w:hanging="360"/>
      </w:pPr>
      <w:rPr>
        <w:rFonts w:ascii="Courier New" w:hAnsi="Courier New" w:cs="Courier New" w:hint="default"/>
      </w:rPr>
    </w:lvl>
    <w:lvl w:ilvl="8" w:tplc="580A0005" w:tentative="1">
      <w:start w:val="1"/>
      <w:numFmt w:val="bullet"/>
      <w:lvlText w:val=""/>
      <w:lvlJc w:val="left"/>
      <w:pPr>
        <w:ind w:left="7101" w:hanging="360"/>
      </w:pPr>
      <w:rPr>
        <w:rFonts w:ascii="Wingdings" w:hAnsi="Wingdings" w:hint="default"/>
      </w:rPr>
    </w:lvl>
  </w:abstractNum>
  <w:abstractNum w:abstractNumId="28" w15:restartNumberingAfterBreak="0">
    <w:nsid w:val="625E0152"/>
    <w:multiLevelType w:val="multilevel"/>
    <w:tmpl w:val="941691C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1004"/>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65315365"/>
    <w:multiLevelType w:val="multilevel"/>
    <w:tmpl w:val="392EE3D8"/>
    <w:lvl w:ilvl="0">
      <w:start w:val="2"/>
      <w:numFmt w:val="decimal"/>
      <w:lvlText w:val="%1"/>
      <w:lvlJc w:val="left"/>
      <w:pPr>
        <w:ind w:left="360" w:hanging="360"/>
      </w:pPr>
      <w:rPr>
        <w:rFonts w:cs="Calibri" w:hint="default"/>
      </w:rPr>
    </w:lvl>
    <w:lvl w:ilvl="1">
      <w:start w:val="1"/>
      <w:numFmt w:val="decimal"/>
      <w:lvlText w:val="%1.%2"/>
      <w:lvlJc w:val="left"/>
      <w:pPr>
        <w:ind w:left="720" w:hanging="360"/>
      </w:pPr>
      <w:rPr>
        <w:rFonts w:cs="Calibri" w:hint="default"/>
      </w:rPr>
    </w:lvl>
    <w:lvl w:ilvl="2">
      <w:start w:val="1"/>
      <w:numFmt w:val="decimal"/>
      <w:lvlText w:val="%1.%2.%3"/>
      <w:lvlJc w:val="left"/>
      <w:pPr>
        <w:ind w:left="1440" w:hanging="720"/>
      </w:pPr>
      <w:rPr>
        <w:rFonts w:cs="Calibri" w:hint="default"/>
      </w:rPr>
    </w:lvl>
    <w:lvl w:ilvl="3">
      <w:start w:val="1"/>
      <w:numFmt w:val="decimal"/>
      <w:lvlText w:val="%1.%2.%3.%4"/>
      <w:lvlJc w:val="left"/>
      <w:pPr>
        <w:ind w:left="1800" w:hanging="720"/>
      </w:pPr>
      <w:rPr>
        <w:rFonts w:cs="Calibri" w:hint="default"/>
      </w:rPr>
    </w:lvl>
    <w:lvl w:ilvl="4">
      <w:start w:val="1"/>
      <w:numFmt w:val="decimal"/>
      <w:lvlText w:val="%1.%2.%3.%4.%5"/>
      <w:lvlJc w:val="left"/>
      <w:pPr>
        <w:ind w:left="2520" w:hanging="1080"/>
      </w:pPr>
      <w:rPr>
        <w:rFonts w:cs="Calibri" w:hint="default"/>
      </w:rPr>
    </w:lvl>
    <w:lvl w:ilvl="5">
      <w:start w:val="1"/>
      <w:numFmt w:val="decimal"/>
      <w:lvlText w:val="%1.%2.%3.%4.%5.%6"/>
      <w:lvlJc w:val="left"/>
      <w:pPr>
        <w:ind w:left="2880" w:hanging="1080"/>
      </w:pPr>
      <w:rPr>
        <w:rFonts w:cs="Calibri" w:hint="default"/>
      </w:rPr>
    </w:lvl>
    <w:lvl w:ilvl="6">
      <w:start w:val="1"/>
      <w:numFmt w:val="decimal"/>
      <w:lvlText w:val="%1.%2.%3.%4.%5.%6.%7"/>
      <w:lvlJc w:val="left"/>
      <w:pPr>
        <w:ind w:left="3600" w:hanging="1440"/>
      </w:pPr>
      <w:rPr>
        <w:rFonts w:cs="Calibri" w:hint="default"/>
      </w:rPr>
    </w:lvl>
    <w:lvl w:ilvl="7">
      <w:start w:val="1"/>
      <w:numFmt w:val="decimal"/>
      <w:lvlText w:val="%1.%2.%3.%4.%5.%6.%7.%8"/>
      <w:lvlJc w:val="left"/>
      <w:pPr>
        <w:ind w:left="3960" w:hanging="1440"/>
      </w:pPr>
      <w:rPr>
        <w:rFonts w:cs="Calibri" w:hint="default"/>
      </w:rPr>
    </w:lvl>
    <w:lvl w:ilvl="8">
      <w:start w:val="1"/>
      <w:numFmt w:val="decimal"/>
      <w:lvlText w:val="%1.%2.%3.%4.%5.%6.%7.%8.%9"/>
      <w:lvlJc w:val="left"/>
      <w:pPr>
        <w:ind w:left="4680" w:hanging="1800"/>
      </w:pPr>
      <w:rPr>
        <w:rFonts w:cs="Calibri" w:hint="default"/>
      </w:rPr>
    </w:lvl>
  </w:abstractNum>
  <w:abstractNum w:abstractNumId="30" w15:restartNumberingAfterBreak="0">
    <w:nsid w:val="6B986DD4"/>
    <w:multiLevelType w:val="multilevel"/>
    <w:tmpl w:val="4C20C6C0"/>
    <w:lvl w:ilvl="0">
      <w:start w:val="3"/>
      <w:numFmt w:val="decimal"/>
      <w:lvlText w:val="%1"/>
      <w:lvlJc w:val="left"/>
      <w:pPr>
        <w:ind w:left="360" w:hanging="360"/>
      </w:pPr>
      <w:rPr>
        <w:rFonts w:hint="default"/>
      </w:rPr>
    </w:lvl>
    <w:lvl w:ilvl="1">
      <w:start w:val="7"/>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1" w15:restartNumberingAfterBreak="0">
    <w:nsid w:val="6C4A19DF"/>
    <w:multiLevelType w:val="multilevel"/>
    <w:tmpl w:val="6352D4F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E144AED"/>
    <w:multiLevelType w:val="hybridMultilevel"/>
    <w:tmpl w:val="3BDA757A"/>
    <w:lvl w:ilvl="0" w:tplc="240A000F">
      <w:start w:val="1"/>
      <w:numFmt w:val="decimal"/>
      <w:lvlText w:val="%1."/>
      <w:lvlJc w:val="left"/>
      <w:pPr>
        <w:ind w:left="1004" w:hanging="360"/>
      </w:pPr>
    </w:lvl>
    <w:lvl w:ilvl="1" w:tplc="580A0019" w:tentative="1">
      <w:start w:val="1"/>
      <w:numFmt w:val="lowerLetter"/>
      <w:lvlText w:val="%2."/>
      <w:lvlJc w:val="left"/>
      <w:pPr>
        <w:ind w:left="1724" w:hanging="360"/>
      </w:pPr>
    </w:lvl>
    <w:lvl w:ilvl="2" w:tplc="580A001B" w:tentative="1">
      <w:start w:val="1"/>
      <w:numFmt w:val="lowerRoman"/>
      <w:lvlText w:val="%3."/>
      <w:lvlJc w:val="right"/>
      <w:pPr>
        <w:ind w:left="2444" w:hanging="180"/>
      </w:pPr>
    </w:lvl>
    <w:lvl w:ilvl="3" w:tplc="580A000F" w:tentative="1">
      <w:start w:val="1"/>
      <w:numFmt w:val="decimal"/>
      <w:lvlText w:val="%4."/>
      <w:lvlJc w:val="left"/>
      <w:pPr>
        <w:ind w:left="3164" w:hanging="360"/>
      </w:pPr>
    </w:lvl>
    <w:lvl w:ilvl="4" w:tplc="580A0019" w:tentative="1">
      <w:start w:val="1"/>
      <w:numFmt w:val="lowerLetter"/>
      <w:lvlText w:val="%5."/>
      <w:lvlJc w:val="left"/>
      <w:pPr>
        <w:ind w:left="3884" w:hanging="360"/>
      </w:pPr>
    </w:lvl>
    <w:lvl w:ilvl="5" w:tplc="580A001B" w:tentative="1">
      <w:start w:val="1"/>
      <w:numFmt w:val="lowerRoman"/>
      <w:lvlText w:val="%6."/>
      <w:lvlJc w:val="right"/>
      <w:pPr>
        <w:ind w:left="4604" w:hanging="180"/>
      </w:pPr>
    </w:lvl>
    <w:lvl w:ilvl="6" w:tplc="580A000F" w:tentative="1">
      <w:start w:val="1"/>
      <w:numFmt w:val="decimal"/>
      <w:lvlText w:val="%7."/>
      <w:lvlJc w:val="left"/>
      <w:pPr>
        <w:ind w:left="5324" w:hanging="360"/>
      </w:pPr>
    </w:lvl>
    <w:lvl w:ilvl="7" w:tplc="580A0019" w:tentative="1">
      <w:start w:val="1"/>
      <w:numFmt w:val="lowerLetter"/>
      <w:lvlText w:val="%8."/>
      <w:lvlJc w:val="left"/>
      <w:pPr>
        <w:ind w:left="6044" w:hanging="360"/>
      </w:pPr>
    </w:lvl>
    <w:lvl w:ilvl="8" w:tplc="580A001B" w:tentative="1">
      <w:start w:val="1"/>
      <w:numFmt w:val="lowerRoman"/>
      <w:lvlText w:val="%9."/>
      <w:lvlJc w:val="right"/>
      <w:pPr>
        <w:ind w:left="6764" w:hanging="180"/>
      </w:pPr>
    </w:lvl>
  </w:abstractNum>
  <w:abstractNum w:abstractNumId="33" w15:restartNumberingAfterBreak="0">
    <w:nsid w:val="74A123EB"/>
    <w:multiLevelType w:val="hybridMultilevel"/>
    <w:tmpl w:val="4C00343E"/>
    <w:lvl w:ilvl="0" w:tplc="240A0001">
      <w:start w:val="1"/>
      <w:numFmt w:val="bullet"/>
      <w:lvlText w:val=""/>
      <w:lvlJc w:val="left"/>
      <w:pPr>
        <w:ind w:left="360" w:hanging="360"/>
      </w:pPr>
      <w:rPr>
        <w:rFonts w:ascii="Symbol" w:hAnsi="Symbol" w:hint="default"/>
      </w:rPr>
    </w:lvl>
    <w:lvl w:ilvl="1" w:tplc="580A0003">
      <w:start w:val="1"/>
      <w:numFmt w:val="bullet"/>
      <w:lvlText w:val="o"/>
      <w:lvlJc w:val="left"/>
      <w:pPr>
        <w:ind w:left="1080" w:hanging="360"/>
      </w:pPr>
      <w:rPr>
        <w:rFonts w:ascii="Courier New" w:hAnsi="Courier New" w:cs="Courier New" w:hint="default"/>
      </w:rPr>
    </w:lvl>
    <w:lvl w:ilvl="2" w:tplc="580A0005" w:tentative="1">
      <w:start w:val="1"/>
      <w:numFmt w:val="bullet"/>
      <w:lvlText w:val=""/>
      <w:lvlJc w:val="left"/>
      <w:pPr>
        <w:ind w:left="1800" w:hanging="360"/>
      </w:pPr>
      <w:rPr>
        <w:rFonts w:ascii="Wingdings" w:hAnsi="Wingdings" w:hint="default"/>
      </w:rPr>
    </w:lvl>
    <w:lvl w:ilvl="3" w:tplc="580A0001" w:tentative="1">
      <w:start w:val="1"/>
      <w:numFmt w:val="bullet"/>
      <w:lvlText w:val=""/>
      <w:lvlJc w:val="left"/>
      <w:pPr>
        <w:ind w:left="2520" w:hanging="360"/>
      </w:pPr>
      <w:rPr>
        <w:rFonts w:ascii="Symbol" w:hAnsi="Symbol" w:hint="default"/>
      </w:rPr>
    </w:lvl>
    <w:lvl w:ilvl="4" w:tplc="580A0003" w:tentative="1">
      <w:start w:val="1"/>
      <w:numFmt w:val="bullet"/>
      <w:lvlText w:val="o"/>
      <w:lvlJc w:val="left"/>
      <w:pPr>
        <w:ind w:left="3240" w:hanging="360"/>
      </w:pPr>
      <w:rPr>
        <w:rFonts w:ascii="Courier New" w:hAnsi="Courier New" w:cs="Courier New" w:hint="default"/>
      </w:rPr>
    </w:lvl>
    <w:lvl w:ilvl="5" w:tplc="580A0005" w:tentative="1">
      <w:start w:val="1"/>
      <w:numFmt w:val="bullet"/>
      <w:lvlText w:val=""/>
      <w:lvlJc w:val="left"/>
      <w:pPr>
        <w:ind w:left="3960" w:hanging="360"/>
      </w:pPr>
      <w:rPr>
        <w:rFonts w:ascii="Wingdings" w:hAnsi="Wingdings" w:hint="default"/>
      </w:rPr>
    </w:lvl>
    <w:lvl w:ilvl="6" w:tplc="580A0001" w:tentative="1">
      <w:start w:val="1"/>
      <w:numFmt w:val="bullet"/>
      <w:lvlText w:val=""/>
      <w:lvlJc w:val="left"/>
      <w:pPr>
        <w:ind w:left="4680" w:hanging="360"/>
      </w:pPr>
      <w:rPr>
        <w:rFonts w:ascii="Symbol" w:hAnsi="Symbol" w:hint="default"/>
      </w:rPr>
    </w:lvl>
    <w:lvl w:ilvl="7" w:tplc="580A0003" w:tentative="1">
      <w:start w:val="1"/>
      <w:numFmt w:val="bullet"/>
      <w:lvlText w:val="o"/>
      <w:lvlJc w:val="left"/>
      <w:pPr>
        <w:ind w:left="5400" w:hanging="360"/>
      </w:pPr>
      <w:rPr>
        <w:rFonts w:ascii="Courier New" w:hAnsi="Courier New" w:cs="Courier New" w:hint="default"/>
      </w:rPr>
    </w:lvl>
    <w:lvl w:ilvl="8" w:tplc="580A0005" w:tentative="1">
      <w:start w:val="1"/>
      <w:numFmt w:val="bullet"/>
      <w:lvlText w:val=""/>
      <w:lvlJc w:val="left"/>
      <w:pPr>
        <w:ind w:left="6120" w:hanging="360"/>
      </w:pPr>
      <w:rPr>
        <w:rFonts w:ascii="Wingdings" w:hAnsi="Wingdings" w:hint="default"/>
      </w:rPr>
    </w:lvl>
  </w:abstractNum>
  <w:abstractNum w:abstractNumId="34" w15:restartNumberingAfterBreak="0">
    <w:nsid w:val="7BB4780D"/>
    <w:multiLevelType w:val="multilevel"/>
    <w:tmpl w:val="DA6A9C9E"/>
    <w:lvl w:ilvl="0">
      <w:start w:val="1"/>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42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5" w15:restartNumberingAfterBreak="0">
    <w:nsid w:val="7BDA26D5"/>
    <w:multiLevelType w:val="multilevel"/>
    <w:tmpl w:val="DA6A9C9E"/>
    <w:lvl w:ilvl="0">
      <w:start w:val="1"/>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42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8"/>
  </w:num>
  <w:num w:numId="2">
    <w:abstractNumId w:val="25"/>
  </w:num>
  <w:num w:numId="3">
    <w:abstractNumId w:val="15"/>
  </w:num>
  <w:num w:numId="4">
    <w:abstractNumId w:val="19"/>
  </w:num>
  <w:num w:numId="5">
    <w:abstractNumId w:val="29"/>
  </w:num>
  <w:num w:numId="6">
    <w:abstractNumId w:val="34"/>
  </w:num>
  <w:num w:numId="7">
    <w:abstractNumId w:val="32"/>
  </w:num>
  <w:num w:numId="8">
    <w:abstractNumId w:val="4"/>
  </w:num>
  <w:num w:numId="9">
    <w:abstractNumId w:val="22"/>
  </w:num>
  <w:num w:numId="10">
    <w:abstractNumId w:val="7"/>
  </w:num>
  <w:num w:numId="11">
    <w:abstractNumId w:val="11"/>
  </w:num>
  <w:num w:numId="12">
    <w:abstractNumId w:val="3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2487" w:hanging="360"/>
        </w:pPr>
        <w:rPr>
          <w:rFonts w:hint="default"/>
        </w:rPr>
      </w:lvl>
    </w:lvlOverride>
    <w:lvlOverride w:ilvl="2">
      <w:lvl w:ilvl="2">
        <w:start w:val="1"/>
        <w:numFmt w:val="decimal"/>
        <w:lvlText w:val="%1.%2.%3"/>
        <w:lvlJc w:val="left"/>
        <w:pPr>
          <w:ind w:left="1288" w:hanging="720"/>
        </w:pPr>
        <w:rPr>
          <w:rFonts w:hint="default"/>
        </w:rPr>
      </w:lvl>
    </w:lvlOverride>
    <w:lvlOverride w:ilvl="3">
      <w:lvl w:ilvl="3">
        <w:start w:val="1"/>
        <w:numFmt w:val="decimal"/>
        <w:lvlText w:val="%1.%2.%3.%4"/>
        <w:lvlJc w:val="left"/>
        <w:pPr>
          <w:ind w:left="1701" w:firstLine="1"/>
        </w:pPr>
        <w:rPr>
          <w:rFonts w:hint="default"/>
        </w:rPr>
      </w:lvl>
    </w:lvlOverride>
    <w:lvlOverride w:ilvl="4">
      <w:lvl w:ilvl="4">
        <w:start w:val="1"/>
        <w:numFmt w:val="decimal"/>
        <w:lvlText w:val="%1.%2.%3.%4.%5"/>
        <w:lvlJc w:val="left"/>
        <w:pPr>
          <w:ind w:left="2216" w:hanging="1080"/>
        </w:pPr>
        <w:rPr>
          <w:rFonts w:hint="default"/>
        </w:rPr>
      </w:lvl>
    </w:lvlOverride>
    <w:lvlOverride w:ilvl="5">
      <w:lvl w:ilvl="5">
        <w:start w:val="1"/>
        <w:numFmt w:val="decimal"/>
        <w:lvlText w:val="%1.%2.%3.%4.%5.%6"/>
        <w:lvlJc w:val="left"/>
        <w:pPr>
          <w:ind w:left="2500" w:hanging="1080"/>
        </w:pPr>
        <w:rPr>
          <w:rFonts w:hint="default"/>
        </w:rPr>
      </w:lvl>
    </w:lvlOverride>
    <w:lvlOverride w:ilvl="6">
      <w:lvl w:ilvl="6">
        <w:start w:val="1"/>
        <w:numFmt w:val="decimal"/>
        <w:lvlText w:val="%1.%2.%3.%4.%5.%6.%7"/>
        <w:lvlJc w:val="left"/>
        <w:pPr>
          <w:ind w:left="3144" w:hanging="1440"/>
        </w:pPr>
        <w:rPr>
          <w:rFonts w:hint="default"/>
        </w:rPr>
      </w:lvl>
    </w:lvlOverride>
    <w:lvlOverride w:ilvl="7">
      <w:lvl w:ilvl="7">
        <w:start w:val="1"/>
        <w:numFmt w:val="decimal"/>
        <w:lvlText w:val="%1.%2.%3.%4.%5.%6.%7.%8"/>
        <w:lvlJc w:val="left"/>
        <w:pPr>
          <w:ind w:left="3428" w:hanging="1440"/>
        </w:pPr>
        <w:rPr>
          <w:rFonts w:hint="default"/>
        </w:rPr>
      </w:lvl>
    </w:lvlOverride>
    <w:lvlOverride w:ilvl="8">
      <w:lvl w:ilvl="8">
        <w:start w:val="1"/>
        <w:numFmt w:val="decimal"/>
        <w:lvlText w:val="%1.%2.%3.%4.%5.%6.%7.%8.%9"/>
        <w:lvlJc w:val="left"/>
        <w:pPr>
          <w:ind w:left="4072" w:hanging="1800"/>
        </w:pPr>
        <w:rPr>
          <w:rFonts w:hint="default"/>
        </w:rPr>
      </w:lvl>
    </w:lvlOverride>
  </w:num>
  <w:num w:numId="13">
    <w:abstractNumId w:val="9"/>
  </w:num>
  <w:num w:numId="14">
    <w:abstractNumId w:val="17"/>
  </w:num>
  <w:num w:numId="15">
    <w:abstractNumId w:val="35"/>
  </w:num>
  <w:num w:numId="16">
    <w:abstractNumId w:val="21"/>
  </w:num>
  <w:num w:numId="17">
    <w:abstractNumId w:val="26"/>
  </w:num>
  <w:num w:numId="18">
    <w:abstractNumId w:val="27"/>
  </w:num>
  <w:num w:numId="19">
    <w:abstractNumId w:val="0"/>
  </w:num>
  <w:num w:numId="20">
    <w:abstractNumId w:val="10"/>
  </w:num>
  <w:num w:numId="21">
    <w:abstractNumId w:val="2"/>
  </w:num>
  <w:num w:numId="22">
    <w:abstractNumId w:val="5"/>
  </w:num>
  <w:num w:numId="23">
    <w:abstractNumId w:val="20"/>
  </w:num>
  <w:num w:numId="24">
    <w:abstractNumId w:val="14"/>
  </w:num>
  <w:num w:numId="25">
    <w:abstractNumId w:val="13"/>
  </w:num>
  <w:num w:numId="26">
    <w:abstractNumId w:val="33"/>
  </w:num>
  <w:num w:numId="27">
    <w:abstractNumId w:val="28"/>
  </w:num>
  <w:num w:numId="28">
    <w:abstractNumId w:val="8"/>
  </w:num>
  <w:num w:numId="29">
    <w:abstractNumId w:val="23"/>
  </w:num>
  <w:num w:numId="30">
    <w:abstractNumId w:val="24"/>
  </w:num>
  <w:num w:numId="31">
    <w:abstractNumId w:val="6"/>
  </w:num>
  <w:num w:numId="32">
    <w:abstractNumId w:val="12"/>
  </w:num>
  <w:num w:numId="33">
    <w:abstractNumId w:val="30"/>
  </w:num>
  <w:num w:numId="34">
    <w:abstractNumId w:val="16"/>
  </w:num>
  <w:num w:numId="35">
    <w:abstractNumId w:val="3"/>
  </w:num>
  <w:num w:numId="36">
    <w:abstractNumId w:val="31"/>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017A"/>
    <w:rsid w:val="00007448"/>
    <w:rsid w:val="000122CD"/>
    <w:rsid w:val="00016A77"/>
    <w:rsid w:val="00036EE6"/>
    <w:rsid w:val="0004177A"/>
    <w:rsid w:val="000602C9"/>
    <w:rsid w:val="00066F0C"/>
    <w:rsid w:val="00067BBD"/>
    <w:rsid w:val="00067BCE"/>
    <w:rsid w:val="000735D7"/>
    <w:rsid w:val="00075367"/>
    <w:rsid w:val="000A356D"/>
    <w:rsid w:val="000B2E69"/>
    <w:rsid w:val="000B72E2"/>
    <w:rsid w:val="000C0FDE"/>
    <w:rsid w:val="000C3EAA"/>
    <w:rsid w:val="000C60C8"/>
    <w:rsid w:val="000D3B3C"/>
    <w:rsid w:val="000E1BC4"/>
    <w:rsid w:val="000E32D4"/>
    <w:rsid w:val="000F0A35"/>
    <w:rsid w:val="000F1CC6"/>
    <w:rsid w:val="000F68BA"/>
    <w:rsid w:val="000F797F"/>
    <w:rsid w:val="001001C1"/>
    <w:rsid w:val="00107B81"/>
    <w:rsid w:val="001146E8"/>
    <w:rsid w:val="0012093E"/>
    <w:rsid w:val="0013293C"/>
    <w:rsid w:val="0014244C"/>
    <w:rsid w:val="001448B2"/>
    <w:rsid w:val="00155940"/>
    <w:rsid w:val="0016484F"/>
    <w:rsid w:val="00172704"/>
    <w:rsid w:val="001913AA"/>
    <w:rsid w:val="00193C24"/>
    <w:rsid w:val="0019556C"/>
    <w:rsid w:val="001D065C"/>
    <w:rsid w:val="001D39E5"/>
    <w:rsid w:val="001D45E2"/>
    <w:rsid w:val="001F0706"/>
    <w:rsid w:val="0020533E"/>
    <w:rsid w:val="0021431B"/>
    <w:rsid w:val="002208E2"/>
    <w:rsid w:val="00221E64"/>
    <w:rsid w:val="002233DD"/>
    <w:rsid w:val="00225020"/>
    <w:rsid w:val="00236BCC"/>
    <w:rsid w:val="0024045A"/>
    <w:rsid w:val="00251353"/>
    <w:rsid w:val="002523A9"/>
    <w:rsid w:val="00255AC5"/>
    <w:rsid w:val="00266DA9"/>
    <w:rsid w:val="00271C6F"/>
    <w:rsid w:val="00272AC8"/>
    <w:rsid w:val="00274BA0"/>
    <w:rsid w:val="0029622B"/>
    <w:rsid w:val="0029789B"/>
    <w:rsid w:val="002A75CF"/>
    <w:rsid w:val="002B0D0C"/>
    <w:rsid w:val="002B3F9E"/>
    <w:rsid w:val="002B631A"/>
    <w:rsid w:val="002C3B20"/>
    <w:rsid w:val="002D0052"/>
    <w:rsid w:val="002D51C5"/>
    <w:rsid w:val="002D7385"/>
    <w:rsid w:val="003000B9"/>
    <w:rsid w:val="00306617"/>
    <w:rsid w:val="003323E7"/>
    <w:rsid w:val="00341EA9"/>
    <w:rsid w:val="00343220"/>
    <w:rsid w:val="00355CDB"/>
    <w:rsid w:val="00356427"/>
    <w:rsid w:val="00363BC5"/>
    <w:rsid w:val="00364B36"/>
    <w:rsid w:val="003717F1"/>
    <w:rsid w:val="00374646"/>
    <w:rsid w:val="00382D12"/>
    <w:rsid w:val="00387583"/>
    <w:rsid w:val="00397433"/>
    <w:rsid w:val="00397F25"/>
    <w:rsid w:val="003A0E4F"/>
    <w:rsid w:val="003A0EA6"/>
    <w:rsid w:val="003A170A"/>
    <w:rsid w:val="003B1DAD"/>
    <w:rsid w:val="003B2575"/>
    <w:rsid w:val="003D2C49"/>
    <w:rsid w:val="003F1073"/>
    <w:rsid w:val="0041503A"/>
    <w:rsid w:val="00440428"/>
    <w:rsid w:val="00461837"/>
    <w:rsid w:val="00481819"/>
    <w:rsid w:val="00486FB0"/>
    <w:rsid w:val="004A3910"/>
    <w:rsid w:val="004A5678"/>
    <w:rsid w:val="004A6386"/>
    <w:rsid w:val="004B2EEA"/>
    <w:rsid w:val="004C02A0"/>
    <w:rsid w:val="004C6179"/>
    <w:rsid w:val="004C6F97"/>
    <w:rsid w:val="004D436C"/>
    <w:rsid w:val="004D481B"/>
    <w:rsid w:val="004E5A87"/>
    <w:rsid w:val="004E5C2D"/>
    <w:rsid w:val="004F4FD0"/>
    <w:rsid w:val="004F716E"/>
    <w:rsid w:val="004F75A4"/>
    <w:rsid w:val="00510A52"/>
    <w:rsid w:val="00516DE8"/>
    <w:rsid w:val="00520C9D"/>
    <w:rsid w:val="00523F97"/>
    <w:rsid w:val="005309BB"/>
    <w:rsid w:val="0053462B"/>
    <w:rsid w:val="00540C23"/>
    <w:rsid w:val="00541CF0"/>
    <w:rsid w:val="00542587"/>
    <w:rsid w:val="005440FD"/>
    <w:rsid w:val="0055487B"/>
    <w:rsid w:val="00560334"/>
    <w:rsid w:val="00561A70"/>
    <w:rsid w:val="00567B55"/>
    <w:rsid w:val="00577E06"/>
    <w:rsid w:val="005924FF"/>
    <w:rsid w:val="005C198B"/>
    <w:rsid w:val="005D004E"/>
    <w:rsid w:val="005F4825"/>
    <w:rsid w:val="005F7A1A"/>
    <w:rsid w:val="0060270D"/>
    <w:rsid w:val="00605294"/>
    <w:rsid w:val="00606A44"/>
    <w:rsid w:val="00627DD6"/>
    <w:rsid w:val="0063562D"/>
    <w:rsid w:val="006371D8"/>
    <w:rsid w:val="006402A2"/>
    <w:rsid w:val="00650767"/>
    <w:rsid w:val="0065400E"/>
    <w:rsid w:val="00657A7D"/>
    <w:rsid w:val="00662400"/>
    <w:rsid w:val="0067592A"/>
    <w:rsid w:val="00675B32"/>
    <w:rsid w:val="0068247D"/>
    <w:rsid w:val="00687AC1"/>
    <w:rsid w:val="00691C2E"/>
    <w:rsid w:val="00691FD0"/>
    <w:rsid w:val="006966E2"/>
    <w:rsid w:val="0069715A"/>
    <w:rsid w:val="006A3C0E"/>
    <w:rsid w:val="006B0647"/>
    <w:rsid w:val="006C0604"/>
    <w:rsid w:val="006D4ACB"/>
    <w:rsid w:val="006E47CA"/>
    <w:rsid w:val="00707269"/>
    <w:rsid w:val="00707CD3"/>
    <w:rsid w:val="007148E9"/>
    <w:rsid w:val="00716C68"/>
    <w:rsid w:val="00722537"/>
    <w:rsid w:val="00722DA5"/>
    <w:rsid w:val="007317A7"/>
    <w:rsid w:val="0073456D"/>
    <w:rsid w:val="00741D73"/>
    <w:rsid w:val="007434B7"/>
    <w:rsid w:val="00762CF8"/>
    <w:rsid w:val="00764CA7"/>
    <w:rsid w:val="00790F59"/>
    <w:rsid w:val="00795C1D"/>
    <w:rsid w:val="007A0E49"/>
    <w:rsid w:val="007A5A2B"/>
    <w:rsid w:val="007A5CCF"/>
    <w:rsid w:val="007B00BC"/>
    <w:rsid w:val="007C6093"/>
    <w:rsid w:val="007D7773"/>
    <w:rsid w:val="007E54F3"/>
    <w:rsid w:val="007F7AEC"/>
    <w:rsid w:val="008014E8"/>
    <w:rsid w:val="00817B9F"/>
    <w:rsid w:val="00824B24"/>
    <w:rsid w:val="00825257"/>
    <w:rsid w:val="00834E9D"/>
    <w:rsid w:val="00842C77"/>
    <w:rsid w:val="008570E3"/>
    <w:rsid w:val="008653CE"/>
    <w:rsid w:val="0087017A"/>
    <w:rsid w:val="0088060C"/>
    <w:rsid w:val="008847EB"/>
    <w:rsid w:val="00884A66"/>
    <w:rsid w:val="008A6064"/>
    <w:rsid w:val="008B27B1"/>
    <w:rsid w:val="008B6419"/>
    <w:rsid w:val="008C1282"/>
    <w:rsid w:val="008D18E2"/>
    <w:rsid w:val="008E0250"/>
    <w:rsid w:val="008E3D8C"/>
    <w:rsid w:val="008F7B85"/>
    <w:rsid w:val="00903013"/>
    <w:rsid w:val="00921F0C"/>
    <w:rsid w:val="00960EFA"/>
    <w:rsid w:val="00961C86"/>
    <w:rsid w:val="00975290"/>
    <w:rsid w:val="009A0EC5"/>
    <w:rsid w:val="009A11B8"/>
    <w:rsid w:val="009B1C10"/>
    <w:rsid w:val="009D31D9"/>
    <w:rsid w:val="009D4057"/>
    <w:rsid w:val="009F1FEF"/>
    <w:rsid w:val="00A046AB"/>
    <w:rsid w:val="00A076AB"/>
    <w:rsid w:val="00A26A92"/>
    <w:rsid w:val="00A41E4C"/>
    <w:rsid w:val="00A56342"/>
    <w:rsid w:val="00A6752A"/>
    <w:rsid w:val="00A702A9"/>
    <w:rsid w:val="00A70764"/>
    <w:rsid w:val="00A75544"/>
    <w:rsid w:val="00A75C30"/>
    <w:rsid w:val="00AA01C2"/>
    <w:rsid w:val="00AC33B3"/>
    <w:rsid w:val="00AE434A"/>
    <w:rsid w:val="00B0763C"/>
    <w:rsid w:val="00B11905"/>
    <w:rsid w:val="00B13762"/>
    <w:rsid w:val="00B20FC6"/>
    <w:rsid w:val="00B269C1"/>
    <w:rsid w:val="00B32668"/>
    <w:rsid w:val="00B60DC6"/>
    <w:rsid w:val="00B700FA"/>
    <w:rsid w:val="00B703AD"/>
    <w:rsid w:val="00B740FA"/>
    <w:rsid w:val="00B7737D"/>
    <w:rsid w:val="00BA3F76"/>
    <w:rsid w:val="00BA64A2"/>
    <w:rsid w:val="00BA6F59"/>
    <w:rsid w:val="00BA77AD"/>
    <w:rsid w:val="00BA7A12"/>
    <w:rsid w:val="00BB4A9F"/>
    <w:rsid w:val="00BB5F3E"/>
    <w:rsid w:val="00BC0060"/>
    <w:rsid w:val="00BC337F"/>
    <w:rsid w:val="00BD34E2"/>
    <w:rsid w:val="00BE0E38"/>
    <w:rsid w:val="00BE3F20"/>
    <w:rsid w:val="00BE6C11"/>
    <w:rsid w:val="00BF66AC"/>
    <w:rsid w:val="00C10171"/>
    <w:rsid w:val="00C12738"/>
    <w:rsid w:val="00C14143"/>
    <w:rsid w:val="00C148E3"/>
    <w:rsid w:val="00C37D33"/>
    <w:rsid w:val="00C44222"/>
    <w:rsid w:val="00C46462"/>
    <w:rsid w:val="00C5512F"/>
    <w:rsid w:val="00C56716"/>
    <w:rsid w:val="00C5679F"/>
    <w:rsid w:val="00C61BA6"/>
    <w:rsid w:val="00C61C61"/>
    <w:rsid w:val="00C649FC"/>
    <w:rsid w:val="00C8206C"/>
    <w:rsid w:val="00C83836"/>
    <w:rsid w:val="00CA269E"/>
    <w:rsid w:val="00CB5BE0"/>
    <w:rsid w:val="00CD3F53"/>
    <w:rsid w:val="00CF6ABE"/>
    <w:rsid w:val="00D01129"/>
    <w:rsid w:val="00D11B68"/>
    <w:rsid w:val="00D21280"/>
    <w:rsid w:val="00D25722"/>
    <w:rsid w:val="00D2728E"/>
    <w:rsid w:val="00D34461"/>
    <w:rsid w:val="00D41F6B"/>
    <w:rsid w:val="00D57953"/>
    <w:rsid w:val="00D67781"/>
    <w:rsid w:val="00D70A2D"/>
    <w:rsid w:val="00D82C8D"/>
    <w:rsid w:val="00D85252"/>
    <w:rsid w:val="00D90AE4"/>
    <w:rsid w:val="00D931DB"/>
    <w:rsid w:val="00D93C66"/>
    <w:rsid w:val="00DC2EB1"/>
    <w:rsid w:val="00DD102D"/>
    <w:rsid w:val="00DD4569"/>
    <w:rsid w:val="00DE1AAF"/>
    <w:rsid w:val="00DF1064"/>
    <w:rsid w:val="00E02BDE"/>
    <w:rsid w:val="00E05275"/>
    <w:rsid w:val="00E169A6"/>
    <w:rsid w:val="00E17E1A"/>
    <w:rsid w:val="00E24E27"/>
    <w:rsid w:val="00E41B49"/>
    <w:rsid w:val="00E521B7"/>
    <w:rsid w:val="00E7202D"/>
    <w:rsid w:val="00E75218"/>
    <w:rsid w:val="00E91521"/>
    <w:rsid w:val="00E96915"/>
    <w:rsid w:val="00EA280F"/>
    <w:rsid w:val="00EB3093"/>
    <w:rsid w:val="00EC2349"/>
    <w:rsid w:val="00ED2FD3"/>
    <w:rsid w:val="00ED45CD"/>
    <w:rsid w:val="00ED57B1"/>
    <w:rsid w:val="00EE0AF8"/>
    <w:rsid w:val="00EE6FC6"/>
    <w:rsid w:val="00EF1074"/>
    <w:rsid w:val="00EF4BE9"/>
    <w:rsid w:val="00F00482"/>
    <w:rsid w:val="00F0065F"/>
    <w:rsid w:val="00F00CBE"/>
    <w:rsid w:val="00F01B0F"/>
    <w:rsid w:val="00F2210F"/>
    <w:rsid w:val="00F33725"/>
    <w:rsid w:val="00F40A9E"/>
    <w:rsid w:val="00F42075"/>
    <w:rsid w:val="00F4484E"/>
    <w:rsid w:val="00F4507B"/>
    <w:rsid w:val="00F503F1"/>
    <w:rsid w:val="00F5108B"/>
    <w:rsid w:val="00F5441B"/>
    <w:rsid w:val="00F56BE0"/>
    <w:rsid w:val="00F574EF"/>
    <w:rsid w:val="00F64DF9"/>
    <w:rsid w:val="00F73D3F"/>
    <w:rsid w:val="00F816B4"/>
    <w:rsid w:val="00F85E39"/>
    <w:rsid w:val="00FA7D55"/>
    <w:rsid w:val="00FC6DA0"/>
    <w:rsid w:val="00FD2E27"/>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4BD49"/>
  <w15:docId w15:val="{E0519E20-BE4A-4C0B-B9F2-A92C6BF47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ES"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9C1"/>
    <w:pPr>
      <w:spacing w:after="200" w:line="360" w:lineRule="auto"/>
      <w:ind w:firstLine="284"/>
    </w:pPr>
    <w:rPr>
      <w:rFonts w:ascii="Arial" w:hAnsi="Arial"/>
    </w:rPr>
  </w:style>
  <w:style w:type="paragraph" w:styleId="Ttulo1">
    <w:name w:val="heading 1"/>
    <w:basedOn w:val="Normal"/>
    <w:next w:val="Normal"/>
    <w:autoRedefine/>
    <w:uiPriority w:val="9"/>
    <w:qFormat/>
    <w:rsid w:val="00FD2E27"/>
    <w:pPr>
      <w:keepNext/>
      <w:keepLines/>
      <w:spacing w:before="480" w:after="120"/>
      <w:outlineLvl w:val="0"/>
    </w:pPr>
    <w:rPr>
      <w:b/>
      <w:szCs w:val="48"/>
    </w:rPr>
  </w:style>
  <w:style w:type="paragraph" w:styleId="Ttulo2">
    <w:name w:val="heading 2"/>
    <w:basedOn w:val="Normal"/>
    <w:next w:val="Normal"/>
    <w:autoRedefine/>
    <w:uiPriority w:val="9"/>
    <w:unhideWhenUsed/>
    <w:qFormat/>
    <w:rsid w:val="00510A52"/>
    <w:pPr>
      <w:keepNext/>
      <w:keepLines/>
      <w:spacing w:after="0"/>
      <w:outlineLvl w:val="1"/>
    </w:pPr>
    <w:rPr>
      <w:b/>
      <w:bCs/>
      <w:szCs w:val="36"/>
    </w:rPr>
  </w:style>
  <w:style w:type="paragraph" w:styleId="Ttulo3">
    <w:name w:val="heading 3"/>
    <w:basedOn w:val="Normal"/>
    <w:next w:val="Normal"/>
    <w:autoRedefine/>
    <w:uiPriority w:val="9"/>
    <w:unhideWhenUsed/>
    <w:qFormat/>
    <w:rsid w:val="00FD2E27"/>
    <w:pPr>
      <w:keepNext/>
      <w:keepLines/>
      <w:spacing w:before="280" w:after="80"/>
      <w:outlineLvl w:val="2"/>
    </w:pPr>
    <w:rPr>
      <w:b/>
      <w:szCs w:val="28"/>
    </w:rPr>
  </w:style>
  <w:style w:type="paragraph" w:styleId="Ttulo4">
    <w:name w:val="heading 4"/>
    <w:basedOn w:val="Normal"/>
    <w:next w:val="Normal"/>
    <w:autoRedefine/>
    <w:uiPriority w:val="9"/>
    <w:unhideWhenUsed/>
    <w:qFormat/>
    <w:rsid w:val="00E96915"/>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34"/>
    <w:qFormat/>
    <w:rsid w:val="00AE2295"/>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tcPr>
      <w:shd w:val="clear" w:color="auto" w:fill="FFFFFF"/>
    </w:tc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TtuloTDC">
    <w:name w:val="TOC Heading"/>
    <w:basedOn w:val="Ttulo1"/>
    <w:next w:val="Normal"/>
    <w:uiPriority w:val="39"/>
    <w:unhideWhenUsed/>
    <w:qFormat/>
    <w:rsid w:val="00541CF0"/>
    <w:pPr>
      <w:spacing w:before="240" w:after="0" w:line="259" w:lineRule="auto"/>
      <w:ind w:firstLine="0"/>
      <w:outlineLvl w:val="9"/>
    </w:pPr>
    <w:rPr>
      <w:rFonts w:asciiTheme="majorHAnsi" w:eastAsiaTheme="majorEastAsia" w:hAnsiTheme="majorHAnsi" w:cstheme="majorBidi"/>
      <w:b w:val="0"/>
      <w:color w:val="2F5496" w:themeColor="accent1" w:themeShade="BF"/>
      <w:sz w:val="32"/>
      <w:szCs w:val="32"/>
      <w:lang w:val="es-419"/>
    </w:rPr>
  </w:style>
  <w:style w:type="paragraph" w:styleId="TDC3">
    <w:name w:val="toc 3"/>
    <w:basedOn w:val="Normal"/>
    <w:next w:val="Normal"/>
    <w:autoRedefine/>
    <w:uiPriority w:val="39"/>
    <w:unhideWhenUsed/>
    <w:rsid w:val="00541CF0"/>
    <w:pPr>
      <w:spacing w:after="100"/>
      <w:ind w:left="440"/>
    </w:pPr>
  </w:style>
  <w:style w:type="paragraph" w:styleId="TDC1">
    <w:name w:val="toc 1"/>
    <w:basedOn w:val="Normal"/>
    <w:next w:val="Normal"/>
    <w:autoRedefine/>
    <w:uiPriority w:val="39"/>
    <w:unhideWhenUsed/>
    <w:rsid w:val="00ED57B1"/>
    <w:pPr>
      <w:tabs>
        <w:tab w:val="right" w:leader="dot" w:pos="9394"/>
      </w:tabs>
      <w:spacing w:after="0" w:line="240" w:lineRule="auto"/>
    </w:pPr>
  </w:style>
  <w:style w:type="paragraph" w:styleId="TDC2">
    <w:name w:val="toc 2"/>
    <w:basedOn w:val="Normal"/>
    <w:next w:val="Normal"/>
    <w:autoRedefine/>
    <w:uiPriority w:val="39"/>
    <w:unhideWhenUsed/>
    <w:rsid w:val="00541CF0"/>
    <w:pPr>
      <w:spacing w:after="100"/>
      <w:ind w:left="220"/>
    </w:pPr>
  </w:style>
  <w:style w:type="character" w:styleId="Hipervnculo">
    <w:name w:val="Hyperlink"/>
    <w:basedOn w:val="Fuentedeprrafopredeter"/>
    <w:uiPriority w:val="99"/>
    <w:unhideWhenUsed/>
    <w:rsid w:val="00541CF0"/>
    <w:rPr>
      <w:color w:val="0563C1" w:themeColor="hyperlink"/>
      <w:u w:val="single"/>
    </w:rPr>
  </w:style>
  <w:style w:type="character" w:customStyle="1" w:styleId="IndexLink">
    <w:name w:val="Index Link"/>
    <w:rsid w:val="00541CF0"/>
  </w:style>
  <w:style w:type="paragraph" w:customStyle="1" w:styleId="Contents1">
    <w:name w:val="Contents 1"/>
    <w:basedOn w:val="Normal"/>
    <w:next w:val="Normal"/>
    <w:autoRedefine/>
    <w:uiPriority w:val="39"/>
    <w:rsid w:val="00541CF0"/>
    <w:pPr>
      <w:suppressAutoHyphens/>
      <w:spacing w:after="0" w:line="240" w:lineRule="auto"/>
      <w:ind w:firstLine="0"/>
    </w:pPr>
    <w:rPr>
      <w:rFonts w:ascii="Times New Roman" w:eastAsia="Times New Roman" w:hAnsi="Times New Roman" w:cs="Times New Roman"/>
      <w:sz w:val="24"/>
      <w:szCs w:val="24"/>
      <w:lang w:val="en-US" w:eastAsia="en-US"/>
    </w:rPr>
  </w:style>
  <w:style w:type="paragraph" w:customStyle="1" w:styleId="Contents2">
    <w:name w:val="Contents 2"/>
    <w:basedOn w:val="Normal"/>
    <w:next w:val="Normal"/>
    <w:autoRedefine/>
    <w:uiPriority w:val="39"/>
    <w:rsid w:val="00541CF0"/>
    <w:pPr>
      <w:suppressAutoHyphens/>
      <w:spacing w:after="0" w:line="240" w:lineRule="auto"/>
      <w:ind w:left="240" w:firstLine="0"/>
    </w:pPr>
    <w:rPr>
      <w:rFonts w:ascii="Times New Roman" w:eastAsia="Times New Roman" w:hAnsi="Times New Roman" w:cs="Times New Roman"/>
      <w:sz w:val="24"/>
      <w:szCs w:val="24"/>
      <w:lang w:val="en-US" w:eastAsia="en-US"/>
    </w:rPr>
  </w:style>
  <w:style w:type="paragraph" w:customStyle="1" w:styleId="Contents3">
    <w:name w:val="Contents 3"/>
    <w:basedOn w:val="Normal"/>
    <w:next w:val="Normal"/>
    <w:autoRedefine/>
    <w:uiPriority w:val="39"/>
    <w:rsid w:val="00541CF0"/>
    <w:pPr>
      <w:suppressAutoHyphens/>
      <w:spacing w:after="0" w:line="240" w:lineRule="auto"/>
      <w:ind w:left="480" w:firstLine="0"/>
    </w:pPr>
    <w:rPr>
      <w:rFonts w:ascii="Times New Roman" w:eastAsia="Times New Roman" w:hAnsi="Times New Roman" w:cs="Times New Roman"/>
      <w:sz w:val="24"/>
      <w:szCs w:val="24"/>
      <w:lang w:val="en-US" w:eastAsia="en-US"/>
    </w:rPr>
  </w:style>
  <w:style w:type="numbering" w:customStyle="1" w:styleId="Estilo1">
    <w:name w:val="Estilo1"/>
    <w:uiPriority w:val="99"/>
    <w:rsid w:val="00221E64"/>
    <w:pPr>
      <w:numPr>
        <w:numId w:val="13"/>
      </w:numPr>
    </w:pPr>
  </w:style>
  <w:style w:type="character" w:styleId="Mencinsinresolver">
    <w:name w:val="Unresolved Mention"/>
    <w:basedOn w:val="Fuentedeprrafopredeter"/>
    <w:uiPriority w:val="99"/>
    <w:semiHidden/>
    <w:unhideWhenUsed/>
    <w:rsid w:val="00E91521"/>
    <w:rPr>
      <w:color w:val="605E5C"/>
      <w:shd w:val="clear" w:color="auto" w:fill="E1DFDD"/>
    </w:rPr>
  </w:style>
  <w:style w:type="table" w:styleId="Tablaconcuadrcula">
    <w:name w:val="Table Grid"/>
    <w:basedOn w:val="Tablanormal"/>
    <w:uiPriority w:val="39"/>
    <w:rsid w:val="00884A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8206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206C"/>
    <w:rPr>
      <w:rFonts w:ascii="Arial" w:hAnsi="Arial"/>
    </w:rPr>
  </w:style>
  <w:style w:type="paragraph" w:styleId="Piedepgina">
    <w:name w:val="footer"/>
    <w:basedOn w:val="Normal"/>
    <w:link w:val="PiedepginaCar"/>
    <w:uiPriority w:val="99"/>
    <w:unhideWhenUsed/>
    <w:rsid w:val="00C8206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206C"/>
    <w:rPr>
      <w:rFonts w:ascii="Arial" w:hAnsi="Arial"/>
    </w:rPr>
  </w:style>
  <w:style w:type="paragraph" w:styleId="Descripcin">
    <w:name w:val="caption"/>
    <w:basedOn w:val="Normal"/>
    <w:next w:val="Normal"/>
    <w:uiPriority w:val="35"/>
    <w:unhideWhenUsed/>
    <w:qFormat/>
    <w:rsid w:val="00F00482"/>
    <w:pPr>
      <w:spacing w:line="240" w:lineRule="auto"/>
    </w:pPr>
    <w:rPr>
      <w:i/>
      <w:iCs/>
      <w:color w:val="44546A" w:themeColor="text2"/>
      <w:sz w:val="18"/>
      <w:szCs w:val="18"/>
    </w:rPr>
  </w:style>
  <w:style w:type="paragraph" w:styleId="Tabladeilustraciones">
    <w:name w:val="table of figures"/>
    <w:aliases w:val="Tabla de figuras"/>
    <w:basedOn w:val="Normal"/>
    <w:next w:val="Normal"/>
    <w:uiPriority w:val="99"/>
    <w:unhideWhenUsed/>
    <w:rsid w:val="00B20FC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604399">
      <w:bodyDiv w:val="1"/>
      <w:marLeft w:val="0"/>
      <w:marRight w:val="0"/>
      <w:marTop w:val="0"/>
      <w:marBottom w:val="0"/>
      <w:divBdr>
        <w:top w:val="none" w:sz="0" w:space="0" w:color="auto"/>
        <w:left w:val="none" w:sz="0" w:space="0" w:color="auto"/>
        <w:bottom w:val="none" w:sz="0" w:space="0" w:color="auto"/>
        <w:right w:val="none" w:sz="0" w:space="0" w:color="auto"/>
      </w:divBdr>
    </w:div>
    <w:div w:id="60717622">
      <w:bodyDiv w:val="1"/>
      <w:marLeft w:val="0"/>
      <w:marRight w:val="0"/>
      <w:marTop w:val="0"/>
      <w:marBottom w:val="0"/>
      <w:divBdr>
        <w:top w:val="none" w:sz="0" w:space="0" w:color="auto"/>
        <w:left w:val="none" w:sz="0" w:space="0" w:color="auto"/>
        <w:bottom w:val="none" w:sz="0" w:space="0" w:color="auto"/>
        <w:right w:val="none" w:sz="0" w:space="0" w:color="auto"/>
      </w:divBdr>
    </w:div>
    <w:div w:id="93861547">
      <w:bodyDiv w:val="1"/>
      <w:marLeft w:val="0"/>
      <w:marRight w:val="0"/>
      <w:marTop w:val="0"/>
      <w:marBottom w:val="0"/>
      <w:divBdr>
        <w:top w:val="none" w:sz="0" w:space="0" w:color="auto"/>
        <w:left w:val="none" w:sz="0" w:space="0" w:color="auto"/>
        <w:bottom w:val="none" w:sz="0" w:space="0" w:color="auto"/>
        <w:right w:val="none" w:sz="0" w:space="0" w:color="auto"/>
      </w:divBdr>
    </w:div>
    <w:div w:id="152962686">
      <w:bodyDiv w:val="1"/>
      <w:marLeft w:val="0"/>
      <w:marRight w:val="0"/>
      <w:marTop w:val="0"/>
      <w:marBottom w:val="0"/>
      <w:divBdr>
        <w:top w:val="none" w:sz="0" w:space="0" w:color="auto"/>
        <w:left w:val="none" w:sz="0" w:space="0" w:color="auto"/>
        <w:bottom w:val="none" w:sz="0" w:space="0" w:color="auto"/>
        <w:right w:val="none" w:sz="0" w:space="0" w:color="auto"/>
      </w:divBdr>
    </w:div>
    <w:div w:id="167797582">
      <w:bodyDiv w:val="1"/>
      <w:marLeft w:val="0"/>
      <w:marRight w:val="0"/>
      <w:marTop w:val="0"/>
      <w:marBottom w:val="0"/>
      <w:divBdr>
        <w:top w:val="none" w:sz="0" w:space="0" w:color="auto"/>
        <w:left w:val="none" w:sz="0" w:space="0" w:color="auto"/>
        <w:bottom w:val="none" w:sz="0" w:space="0" w:color="auto"/>
        <w:right w:val="none" w:sz="0" w:space="0" w:color="auto"/>
      </w:divBdr>
    </w:div>
    <w:div w:id="176889982">
      <w:bodyDiv w:val="1"/>
      <w:marLeft w:val="0"/>
      <w:marRight w:val="0"/>
      <w:marTop w:val="0"/>
      <w:marBottom w:val="0"/>
      <w:divBdr>
        <w:top w:val="none" w:sz="0" w:space="0" w:color="auto"/>
        <w:left w:val="none" w:sz="0" w:space="0" w:color="auto"/>
        <w:bottom w:val="none" w:sz="0" w:space="0" w:color="auto"/>
        <w:right w:val="none" w:sz="0" w:space="0" w:color="auto"/>
      </w:divBdr>
    </w:div>
    <w:div w:id="270860616">
      <w:bodyDiv w:val="1"/>
      <w:marLeft w:val="0"/>
      <w:marRight w:val="0"/>
      <w:marTop w:val="0"/>
      <w:marBottom w:val="0"/>
      <w:divBdr>
        <w:top w:val="none" w:sz="0" w:space="0" w:color="auto"/>
        <w:left w:val="none" w:sz="0" w:space="0" w:color="auto"/>
        <w:bottom w:val="none" w:sz="0" w:space="0" w:color="auto"/>
        <w:right w:val="none" w:sz="0" w:space="0" w:color="auto"/>
      </w:divBdr>
    </w:div>
    <w:div w:id="285700979">
      <w:bodyDiv w:val="1"/>
      <w:marLeft w:val="0"/>
      <w:marRight w:val="0"/>
      <w:marTop w:val="0"/>
      <w:marBottom w:val="0"/>
      <w:divBdr>
        <w:top w:val="none" w:sz="0" w:space="0" w:color="auto"/>
        <w:left w:val="none" w:sz="0" w:space="0" w:color="auto"/>
        <w:bottom w:val="none" w:sz="0" w:space="0" w:color="auto"/>
        <w:right w:val="none" w:sz="0" w:space="0" w:color="auto"/>
      </w:divBdr>
    </w:div>
    <w:div w:id="311839230">
      <w:bodyDiv w:val="1"/>
      <w:marLeft w:val="0"/>
      <w:marRight w:val="0"/>
      <w:marTop w:val="0"/>
      <w:marBottom w:val="0"/>
      <w:divBdr>
        <w:top w:val="none" w:sz="0" w:space="0" w:color="auto"/>
        <w:left w:val="none" w:sz="0" w:space="0" w:color="auto"/>
        <w:bottom w:val="none" w:sz="0" w:space="0" w:color="auto"/>
        <w:right w:val="none" w:sz="0" w:space="0" w:color="auto"/>
      </w:divBdr>
    </w:div>
    <w:div w:id="318383556">
      <w:bodyDiv w:val="1"/>
      <w:marLeft w:val="0"/>
      <w:marRight w:val="0"/>
      <w:marTop w:val="0"/>
      <w:marBottom w:val="0"/>
      <w:divBdr>
        <w:top w:val="none" w:sz="0" w:space="0" w:color="auto"/>
        <w:left w:val="none" w:sz="0" w:space="0" w:color="auto"/>
        <w:bottom w:val="none" w:sz="0" w:space="0" w:color="auto"/>
        <w:right w:val="none" w:sz="0" w:space="0" w:color="auto"/>
      </w:divBdr>
    </w:div>
    <w:div w:id="448857023">
      <w:bodyDiv w:val="1"/>
      <w:marLeft w:val="0"/>
      <w:marRight w:val="0"/>
      <w:marTop w:val="0"/>
      <w:marBottom w:val="0"/>
      <w:divBdr>
        <w:top w:val="none" w:sz="0" w:space="0" w:color="auto"/>
        <w:left w:val="none" w:sz="0" w:space="0" w:color="auto"/>
        <w:bottom w:val="none" w:sz="0" w:space="0" w:color="auto"/>
        <w:right w:val="none" w:sz="0" w:space="0" w:color="auto"/>
      </w:divBdr>
    </w:div>
    <w:div w:id="539828134">
      <w:bodyDiv w:val="1"/>
      <w:marLeft w:val="0"/>
      <w:marRight w:val="0"/>
      <w:marTop w:val="0"/>
      <w:marBottom w:val="0"/>
      <w:divBdr>
        <w:top w:val="none" w:sz="0" w:space="0" w:color="auto"/>
        <w:left w:val="none" w:sz="0" w:space="0" w:color="auto"/>
        <w:bottom w:val="none" w:sz="0" w:space="0" w:color="auto"/>
        <w:right w:val="none" w:sz="0" w:space="0" w:color="auto"/>
      </w:divBdr>
    </w:div>
    <w:div w:id="603850678">
      <w:bodyDiv w:val="1"/>
      <w:marLeft w:val="0"/>
      <w:marRight w:val="0"/>
      <w:marTop w:val="0"/>
      <w:marBottom w:val="0"/>
      <w:divBdr>
        <w:top w:val="none" w:sz="0" w:space="0" w:color="auto"/>
        <w:left w:val="none" w:sz="0" w:space="0" w:color="auto"/>
        <w:bottom w:val="none" w:sz="0" w:space="0" w:color="auto"/>
        <w:right w:val="none" w:sz="0" w:space="0" w:color="auto"/>
      </w:divBdr>
    </w:div>
    <w:div w:id="736169428">
      <w:bodyDiv w:val="1"/>
      <w:marLeft w:val="0"/>
      <w:marRight w:val="0"/>
      <w:marTop w:val="0"/>
      <w:marBottom w:val="0"/>
      <w:divBdr>
        <w:top w:val="none" w:sz="0" w:space="0" w:color="auto"/>
        <w:left w:val="none" w:sz="0" w:space="0" w:color="auto"/>
        <w:bottom w:val="none" w:sz="0" w:space="0" w:color="auto"/>
        <w:right w:val="none" w:sz="0" w:space="0" w:color="auto"/>
      </w:divBdr>
    </w:div>
    <w:div w:id="798843437">
      <w:bodyDiv w:val="1"/>
      <w:marLeft w:val="0"/>
      <w:marRight w:val="0"/>
      <w:marTop w:val="0"/>
      <w:marBottom w:val="0"/>
      <w:divBdr>
        <w:top w:val="none" w:sz="0" w:space="0" w:color="auto"/>
        <w:left w:val="none" w:sz="0" w:space="0" w:color="auto"/>
        <w:bottom w:val="none" w:sz="0" w:space="0" w:color="auto"/>
        <w:right w:val="none" w:sz="0" w:space="0" w:color="auto"/>
      </w:divBdr>
    </w:div>
    <w:div w:id="830603645">
      <w:bodyDiv w:val="1"/>
      <w:marLeft w:val="0"/>
      <w:marRight w:val="0"/>
      <w:marTop w:val="0"/>
      <w:marBottom w:val="0"/>
      <w:divBdr>
        <w:top w:val="none" w:sz="0" w:space="0" w:color="auto"/>
        <w:left w:val="none" w:sz="0" w:space="0" w:color="auto"/>
        <w:bottom w:val="none" w:sz="0" w:space="0" w:color="auto"/>
        <w:right w:val="none" w:sz="0" w:space="0" w:color="auto"/>
      </w:divBdr>
    </w:div>
    <w:div w:id="986056753">
      <w:bodyDiv w:val="1"/>
      <w:marLeft w:val="0"/>
      <w:marRight w:val="0"/>
      <w:marTop w:val="0"/>
      <w:marBottom w:val="0"/>
      <w:divBdr>
        <w:top w:val="none" w:sz="0" w:space="0" w:color="auto"/>
        <w:left w:val="none" w:sz="0" w:space="0" w:color="auto"/>
        <w:bottom w:val="none" w:sz="0" w:space="0" w:color="auto"/>
        <w:right w:val="none" w:sz="0" w:space="0" w:color="auto"/>
      </w:divBdr>
    </w:div>
    <w:div w:id="987511567">
      <w:bodyDiv w:val="1"/>
      <w:marLeft w:val="0"/>
      <w:marRight w:val="0"/>
      <w:marTop w:val="0"/>
      <w:marBottom w:val="0"/>
      <w:divBdr>
        <w:top w:val="none" w:sz="0" w:space="0" w:color="auto"/>
        <w:left w:val="none" w:sz="0" w:space="0" w:color="auto"/>
        <w:bottom w:val="none" w:sz="0" w:space="0" w:color="auto"/>
        <w:right w:val="none" w:sz="0" w:space="0" w:color="auto"/>
      </w:divBdr>
    </w:div>
    <w:div w:id="1047145247">
      <w:bodyDiv w:val="1"/>
      <w:marLeft w:val="0"/>
      <w:marRight w:val="0"/>
      <w:marTop w:val="0"/>
      <w:marBottom w:val="0"/>
      <w:divBdr>
        <w:top w:val="none" w:sz="0" w:space="0" w:color="auto"/>
        <w:left w:val="none" w:sz="0" w:space="0" w:color="auto"/>
        <w:bottom w:val="none" w:sz="0" w:space="0" w:color="auto"/>
        <w:right w:val="none" w:sz="0" w:space="0" w:color="auto"/>
      </w:divBdr>
    </w:div>
    <w:div w:id="1121920236">
      <w:bodyDiv w:val="1"/>
      <w:marLeft w:val="0"/>
      <w:marRight w:val="0"/>
      <w:marTop w:val="0"/>
      <w:marBottom w:val="0"/>
      <w:divBdr>
        <w:top w:val="none" w:sz="0" w:space="0" w:color="auto"/>
        <w:left w:val="none" w:sz="0" w:space="0" w:color="auto"/>
        <w:bottom w:val="none" w:sz="0" w:space="0" w:color="auto"/>
        <w:right w:val="none" w:sz="0" w:space="0" w:color="auto"/>
      </w:divBdr>
    </w:div>
    <w:div w:id="1262225168">
      <w:bodyDiv w:val="1"/>
      <w:marLeft w:val="0"/>
      <w:marRight w:val="0"/>
      <w:marTop w:val="0"/>
      <w:marBottom w:val="0"/>
      <w:divBdr>
        <w:top w:val="none" w:sz="0" w:space="0" w:color="auto"/>
        <w:left w:val="none" w:sz="0" w:space="0" w:color="auto"/>
        <w:bottom w:val="none" w:sz="0" w:space="0" w:color="auto"/>
        <w:right w:val="none" w:sz="0" w:space="0" w:color="auto"/>
      </w:divBdr>
    </w:div>
    <w:div w:id="1265264704">
      <w:bodyDiv w:val="1"/>
      <w:marLeft w:val="0"/>
      <w:marRight w:val="0"/>
      <w:marTop w:val="0"/>
      <w:marBottom w:val="0"/>
      <w:divBdr>
        <w:top w:val="none" w:sz="0" w:space="0" w:color="auto"/>
        <w:left w:val="none" w:sz="0" w:space="0" w:color="auto"/>
        <w:bottom w:val="none" w:sz="0" w:space="0" w:color="auto"/>
        <w:right w:val="none" w:sz="0" w:space="0" w:color="auto"/>
      </w:divBdr>
    </w:div>
    <w:div w:id="1366757380">
      <w:bodyDiv w:val="1"/>
      <w:marLeft w:val="0"/>
      <w:marRight w:val="0"/>
      <w:marTop w:val="0"/>
      <w:marBottom w:val="0"/>
      <w:divBdr>
        <w:top w:val="none" w:sz="0" w:space="0" w:color="auto"/>
        <w:left w:val="none" w:sz="0" w:space="0" w:color="auto"/>
        <w:bottom w:val="none" w:sz="0" w:space="0" w:color="auto"/>
        <w:right w:val="none" w:sz="0" w:space="0" w:color="auto"/>
      </w:divBdr>
    </w:div>
    <w:div w:id="1388603856">
      <w:bodyDiv w:val="1"/>
      <w:marLeft w:val="0"/>
      <w:marRight w:val="0"/>
      <w:marTop w:val="0"/>
      <w:marBottom w:val="0"/>
      <w:divBdr>
        <w:top w:val="none" w:sz="0" w:space="0" w:color="auto"/>
        <w:left w:val="none" w:sz="0" w:space="0" w:color="auto"/>
        <w:bottom w:val="none" w:sz="0" w:space="0" w:color="auto"/>
        <w:right w:val="none" w:sz="0" w:space="0" w:color="auto"/>
      </w:divBdr>
    </w:div>
    <w:div w:id="1413622864">
      <w:bodyDiv w:val="1"/>
      <w:marLeft w:val="0"/>
      <w:marRight w:val="0"/>
      <w:marTop w:val="0"/>
      <w:marBottom w:val="0"/>
      <w:divBdr>
        <w:top w:val="none" w:sz="0" w:space="0" w:color="auto"/>
        <w:left w:val="none" w:sz="0" w:space="0" w:color="auto"/>
        <w:bottom w:val="none" w:sz="0" w:space="0" w:color="auto"/>
        <w:right w:val="none" w:sz="0" w:space="0" w:color="auto"/>
      </w:divBdr>
    </w:div>
    <w:div w:id="1465847539">
      <w:bodyDiv w:val="1"/>
      <w:marLeft w:val="0"/>
      <w:marRight w:val="0"/>
      <w:marTop w:val="0"/>
      <w:marBottom w:val="0"/>
      <w:divBdr>
        <w:top w:val="none" w:sz="0" w:space="0" w:color="auto"/>
        <w:left w:val="none" w:sz="0" w:space="0" w:color="auto"/>
        <w:bottom w:val="none" w:sz="0" w:space="0" w:color="auto"/>
        <w:right w:val="none" w:sz="0" w:space="0" w:color="auto"/>
      </w:divBdr>
    </w:div>
    <w:div w:id="1494878458">
      <w:bodyDiv w:val="1"/>
      <w:marLeft w:val="0"/>
      <w:marRight w:val="0"/>
      <w:marTop w:val="0"/>
      <w:marBottom w:val="0"/>
      <w:divBdr>
        <w:top w:val="none" w:sz="0" w:space="0" w:color="auto"/>
        <w:left w:val="none" w:sz="0" w:space="0" w:color="auto"/>
        <w:bottom w:val="none" w:sz="0" w:space="0" w:color="auto"/>
        <w:right w:val="none" w:sz="0" w:space="0" w:color="auto"/>
      </w:divBdr>
    </w:div>
    <w:div w:id="1602032854">
      <w:bodyDiv w:val="1"/>
      <w:marLeft w:val="0"/>
      <w:marRight w:val="0"/>
      <w:marTop w:val="0"/>
      <w:marBottom w:val="0"/>
      <w:divBdr>
        <w:top w:val="none" w:sz="0" w:space="0" w:color="auto"/>
        <w:left w:val="none" w:sz="0" w:space="0" w:color="auto"/>
        <w:bottom w:val="none" w:sz="0" w:space="0" w:color="auto"/>
        <w:right w:val="none" w:sz="0" w:space="0" w:color="auto"/>
      </w:divBdr>
    </w:div>
    <w:div w:id="1685010651">
      <w:bodyDiv w:val="1"/>
      <w:marLeft w:val="0"/>
      <w:marRight w:val="0"/>
      <w:marTop w:val="0"/>
      <w:marBottom w:val="0"/>
      <w:divBdr>
        <w:top w:val="none" w:sz="0" w:space="0" w:color="auto"/>
        <w:left w:val="none" w:sz="0" w:space="0" w:color="auto"/>
        <w:bottom w:val="none" w:sz="0" w:space="0" w:color="auto"/>
        <w:right w:val="none" w:sz="0" w:space="0" w:color="auto"/>
      </w:divBdr>
    </w:div>
    <w:div w:id="1711956295">
      <w:bodyDiv w:val="1"/>
      <w:marLeft w:val="0"/>
      <w:marRight w:val="0"/>
      <w:marTop w:val="0"/>
      <w:marBottom w:val="0"/>
      <w:divBdr>
        <w:top w:val="none" w:sz="0" w:space="0" w:color="auto"/>
        <w:left w:val="none" w:sz="0" w:space="0" w:color="auto"/>
        <w:bottom w:val="none" w:sz="0" w:space="0" w:color="auto"/>
        <w:right w:val="none" w:sz="0" w:space="0" w:color="auto"/>
      </w:divBdr>
    </w:div>
    <w:div w:id="1715273810">
      <w:bodyDiv w:val="1"/>
      <w:marLeft w:val="0"/>
      <w:marRight w:val="0"/>
      <w:marTop w:val="0"/>
      <w:marBottom w:val="0"/>
      <w:divBdr>
        <w:top w:val="none" w:sz="0" w:space="0" w:color="auto"/>
        <w:left w:val="none" w:sz="0" w:space="0" w:color="auto"/>
        <w:bottom w:val="none" w:sz="0" w:space="0" w:color="auto"/>
        <w:right w:val="none" w:sz="0" w:space="0" w:color="auto"/>
      </w:divBdr>
      <w:divsChild>
        <w:div w:id="2122606232">
          <w:marLeft w:val="0"/>
          <w:marRight w:val="0"/>
          <w:marTop w:val="300"/>
          <w:marBottom w:val="300"/>
          <w:divBdr>
            <w:top w:val="single" w:sz="6" w:space="15" w:color="EEEEEE"/>
            <w:left w:val="single" w:sz="36" w:space="15" w:color="EEEEEE"/>
            <w:bottom w:val="single" w:sz="6" w:space="15" w:color="EEEEEE"/>
            <w:right w:val="single" w:sz="6" w:space="15" w:color="EEEEEE"/>
          </w:divBdr>
          <w:divsChild>
            <w:div w:id="15859872">
              <w:marLeft w:val="0"/>
              <w:marRight w:val="0"/>
              <w:marTop w:val="0"/>
              <w:marBottom w:val="0"/>
              <w:divBdr>
                <w:top w:val="none" w:sz="0" w:space="0" w:color="auto"/>
                <w:left w:val="none" w:sz="0" w:space="0" w:color="auto"/>
                <w:bottom w:val="none" w:sz="0" w:space="0" w:color="auto"/>
                <w:right w:val="none" w:sz="0" w:space="0" w:color="auto"/>
              </w:divBdr>
              <w:divsChild>
                <w:div w:id="143621194">
                  <w:marLeft w:val="0"/>
                  <w:marRight w:val="0"/>
                  <w:marTop w:val="0"/>
                  <w:marBottom w:val="0"/>
                  <w:divBdr>
                    <w:top w:val="none" w:sz="0" w:space="0" w:color="auto"/>
                    <w:left w:val="none" w:sz="0" w:space="0" w:color="auto"/>
                    <w:bottom w:val="none" w:sz="0" w:space="0" w:color="auto"/>
                    <w:right w:val="none" w:sz="0" w:space="0" w:color="auto"/>
                  </w:divBdr>
                </w:div>
                <w:div w:id="370299486">
                  <w:marLeft w:val="0"/>
                  <w:marRight w:val="0"/>
                  <w:marTop w:val="0"/>
                  <w:marBottom w:val="0"/>
                  <w:divBdr>
                    <w:top w:val="none" w:sz="0" w:space="0" w:color="auto"/>
                    <w:left w:val="none" w:sz="0" w:space="0" w:color="auto"/>
                    <w:bottom w:val="none" w:sz="0" w:space="0" w:color="auto"/>
                    <w:right w:val="none" w:sz="0" w:space="0" w:color="auto"/>
                  </w:divBdr>
                  <w:divsChild>
                    <w:div w:id="1148208519">
                      <w:marLeft w:val="0"/>
                      <w:marRight w:val="0"/>
                      <w:marTop w:val="0"/>
                      <w:marBottom w:val="0"/>
                      <w:divBdr>
                        <w:top w:val="none" w:sz="0" w:space="0" w:color="auto"/>
                        <w:left w:val="none" w:sz="0" w:space="0" w:color="auto"/>
                        <w:bottom w:val="none" w:sz="0" w:space="0" w:color="auto"/>
                        <w:right w:val="none" w:sz="0" w:space="0" w:color="auto"/>
                      </w:divBdr>
                    </w:div>
                    <w:div w:id="1984502760">
                      <w:marLeft w:val="0"/>
                      <w:marRight w:val="0"/>
                      <w:marTop w:val="0"/>
                      <w:marBottom w:val="0"/>
                      <w:divBdr>
                        <w:top w:val="none" w:sz="0" w:space="0" w:color="auto"/>
                        <w:left w:val="none" w:sz="0" w:space="0" w:color="auto"/>
                        <w:bottom w:val="none" w:sz="0" w:space="0" w:color="auto"/>
                        <w:right w:val="none" w:sz="0" w:space="0" w:color="auto"/>
                      </w:divBdr>
                    </w:div>
                    <w:div w:id="82713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698921">
          <w:marLeft w:val="0"/>
          <w:marRight w:val="0"/>
          <w:marTop w:val="0"/>
          <w:marBottom w:val="0"/>
          <w:divBdr>
            <w:top w:val="none" w:sz="0" w:space="0" w:color="auto"/>
            <w:left w:val="none" w:sz="0" w:space="0" w:color="auto"/>
            <w:bottom w:val="none" w:sz="0" w:space="0" w:color="auto"/>
            <w:right w:val="none" w:sz="0" w:space="0" w:color="auto"/>
          </w:divBdr>
        </w:div>
        <w:div w:id="251861546">
          <w:marLeft w:val="0"/>
          <w:marRight w:val="0"/>
          <w:marTop w:val="0"/>
          <w:marBottom w:val="0"/>
          <w:divBdr>
            <w:top w:val="none" w:sz="0" w:space="0" w:color="auto"/>
            <w:left w:val="none" w:sz="0" w:space="0" w:color="auto"/>
            <w:bottom w:val="none" w:sz="0" w:space="0" w:color="auto"/>
            <w:right w:val="none" w:sz="0" w:space="0" w:color="auto"/>
          </w:divBdr>
        </w:div>
      </w:divsChild>
    </w:div>
    <w:div w:id="1723406951">
      <w:bodyDiv w:val="1"/>
      <w:marLeft w:val="0"/>
      <w:marRight w:val="0"/>
      <w:marTop w:val="0"/>
      <w:marBottom w:val="0"/>
      <w:divBdr>
        <w:top w:val="none" w:sz="0" w:space="0" w:color="auto"/>
        <w:left w:val="none" w:sz="0" w:space="0" w:color="auto"/>
        <w:bottom w:val="none" w:sz="0" w:space="0" w:color="auto"/>
        <w:right w:val="none" w:sz="0" w:space="0" w:color="auto"/>
      </w:divBdr>
    </w:div>
    <w:div w:id="1744135625">
      <w:bodyDiv w:val="1"/>
      <w:marLeft w:val="0"/>
      <w:marRight w:val="0"/>
      <w:marTop w:val="0"/>
      <w:marBottom w:val="0"/>
      <w:divBdr>
        <w:top w:val="none" w:sz="0" w:space="0" w:color="auto"/>
        <w:left w:val="none" w:sz="0" w:space="0" w:color="auto"/>
        <w:bottom w:val="none" w:sz="0" w:space="0" w:color="auto"/>
        <w:right w:val="none" w:sz="0" w:space="0" w:color="auto"/>
      </w:divBdr>
    </w:div>
    <w:div w:id="1785611877">
      <w:bodyDiv w:val="1"/>
      <w:marLeft w:val="0"/>
      <w:marRight w:val="0"/>
      <w:marTop w:val="0"/>
      <w:marBottom w:val="0"/>
      <w:divBdr>
        <w:top w:val="none" w:sz="0" w:space="0" w:color="auto"/>
        <w:left w:val="none" w:sz="0" w:space="0" w:color="auto"/>
        <w:bottom w:val="none" w:sz="0" w:space="0" w:color="auto"/>
        <w:right w:val="none" w:sz="0" w:space="0" w:color="auto"/>
      </w:divBdr>
    </w:div>
    <w:div w:id="1933776263">
      <w:bodyDiv w:val="1"/>
      <w:marLeft w:val="0"/>
      <w:marRight w:val="0"/>
      <w:marTop w:val="0"/>
      <w:marBottom w:val="0"/>
      <w:divBdr>
        <w:top w:val="none" w:sz="0" w:space="0" w:color="auto"/>
        <w:left w:val="none" w:sz="0" w:space="0" w:color="auto"/>
        <w:bottom w:val="none" w:sz="0" w:space="0" w:color="auto"/>
        <w:right w:val="none" w:sz="0" w:space="0" w:color="auto"/>
      </w:divBdr>
    </w:div>
    <w:div w:id="1963488586">
      <w:bodyDiv w:val="1"/>
      <w:marLeft w:val="0"/>
      <w:marRight w:val="0"/>
      <w:marTop w:val="0"/>
      <w:marBottom w:val="0"/>
      <w:divBdr>
        <w:top w:val="none" w:sz="0" w:space="0" w:color="auto"/>
        <w:left w:val="none" w:sz="0" w:space="0" w:color="auto"/>
        <w:bottom w:val="none" w:sz="0" w:space="0" w:color="auto"/>
        <w:right w:val="none" w:sz="0" w:space="0" w:color="auto"/>
      </w:divBdr>
    </w:div>
    <w:div w:id="2026400262">
      <w:bodyDiv w:val="1"/>
      <w:marLeft w:val="0"/>
      <w:marRight w:val="0"/>
      <w:marTop w:val="0"/>
      <w:marBottom w:val="0"/>
      <w:divBdr>
        <w:top w:val="none" w:sz="0" w:space="0" w:color="auto"/>
        <w:left w:val="none" w:sz="0" w:space="0" w:color="auto"/>
        <w:bottom w:val="none" w:sz="0" w:space="0" w:color="auto"/>
        <w:right w:val="none" w:sz="0" w:space="0" w:color="auto"/>
      </w:divBdr>
    </w:div>
    <w:div w:id="2110737457">
      <w:bodyDiv w:val="1"/>
      <w:marLeft w:val="0"/>
      <w:marRight w:val="0"/>
      <w:marTop w:val="0"/>
      <w:marBottom w:val="0"/>
      <w:divBdr>
        <w:top w:val="none" w:sz="0" w:space="0" w:color="auto"/>
        <w:left w:val="none" w:sz="0" w:space="0" w:color="auto"/>
        <w:bottom w:val="none" w:sz="0" w:space="0" w:color="auto"/>
        <w:right w:val="none" w:sz="0" w:space="0" w:color="auto"/>
      </w:divBdr>
    </w:div>
    <w:div w:id="21333999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file:///C:\Users\Vanesita\Desktop\GESTION\Diagn&#243;stico%20ambiental\Diagn&#243;stico%20Ambiental.%201.docx" TargetMode="External"/><Relationship Id="rId18" Type="http://schemas.openxmlformats.org/officeDocument/2006/relationships/hyperlink" Target="file:///C:\Users\Vanesita\Desktop\GESTION\Diagn&#243;stico%20ambiental\Diagn&#243;stico%20Ambiental.%201.docx" TargetMode="External"/><Relationship Id="rId26" Type="http://schemas.openxmlformats.org/officeDocument/2006/relationships/image" Target="media/image7.png"/><Relationship Id="rId39" Type="http://schemas.openxmlformats.org/officeDocument/2006/relationships/image" Target="media/image20.png"/><Relationship Id="rId21" Type="http://schemas.openxmlformats.org/officeDocument/2006/relationships/image" Target="media/image4.emf"/><Relationship Id="rId34" Type="http://schemas.openxmlformats.org/officeDocument/2006/relationships/image" Target="media/image15.png"/><Relationship Id="rId42" Type="http://schemas.openxmlformats.org/officeDocument/2006/relationships/image" Target="media/image23.png"/><Relationship Id="rId47" Type="http://schemas.openxmlformats.org/officeDocument/2006/relationships/image" Target="media/image28.png"/><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file:///C:\Users\Vanesita\Desktop\GESTION\Diagn&#243;stico%20ambiental\Diagn&#243;stico%20Ambiental.%201.docx" TargetMode="Externa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png"/><Relationship Id="rId58" Type="http://schemas.openxmlformats.org/officeDocument/2006/relationships/image" Target="media/image39.png"/><Relationship Id="rId5" Type="http://schemas.openxmlformats.org/officeDocument/2006/relationships/settings" Target="settings.xml"/><Relationship Id="rId61" Type="http://schemas.openxmlformats.org/officeDocument/2006/relationships/theme" Target="theme/theme1.xml"/><Relationship Id="rId19" Type="http://schemas.openxmlformats.org/officeDocument/2006/relationships/hyperlink" Target="file:///C:\Users\Vanesita\Desktop\GESTION\Diagn&#243;stico%20ambiental\Diagn&#243;stico%20Ambiental.%201.docx" TargetMode="External"/><Relationship Id="rId14" Type="http://schemas.openxmlformats.org/officeDocument/2006/relationships/hyperlink" Target="file:///C:\Users\Vanesita\Desktop\GESTION\Diagn&#243;stico%20ambiental\Diagn&#243;stico%20Ambiental.%201.docx" TargetMode="External"/><Relationship Id="rId22" Type="http://schemas.openxmlformats.org/officeDocument/2006/relationships/header" Target="header1.xml"/><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png"/><Relationship Id="rId8" Type="http://schemas.openxmlformats.org/officeDocument/2006/relationships/endnotes" Target="endnotes.xml"/><Relationship Id="rId51" Type="http://schemas.openxmlformats.org/officeDocument/2006/relationships/image" Target="media/image32.png"/><Relationship Id="rId3" Type="http://schemas.openxmlformats.org/officeDocument/2006/relationships/numbering" Target="numbering.xml"/><Relationship Id="rId12" Type="http://schemas.openxmlformats.org/officeDocument/2006/relationships/hyperlink" Target="file:///C:\Users\Vanesita\Desktop\GESTION\Diagn&#243;stico%20ambiental\Diagn&#243;stico%20Ambiental.%201.docx" TargetMode="External"/><Relationship Id="rId17" Type="http://schemas.openxmlformats.org/officeDocument/2006/relationships/hyperlink" Target="file:///C:\Users\Vanesita\Desktop\GESTION\Diagn&#243;stico%20ambiental\Diagn&#243;stico%20Ambiental.%201.docx"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7.png"/><Relationship Id="rId59" Type="http://schemas.openxmlformats.org/officeDocument/2006/relationships/image" Target="media/image40.png"/><Relationship Id="rId20" Type="http://schemas.openxmlformats.org/officeDocument/2006/relationships/image" Target="media/image3.png"/><Relationship Id="rId41" Type="http://schemas.openxmlformats.org/officeDocument/2006/relationships/image" Target="media/image22.png"/><Relationship Id="rId54" Type="http://schemas.openxmlformats.org/officeDocument/2006/relationships/image" Target="media/image35.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Vanesita\Desktop\GESTION\Diagn&#243;stico%20ambiental\Diagn&#243;stico%20Ambiental.%201.docx" TargetMode="External"/><Relationship Id="rId23" Type="http://schemas.openxmlformats.org/officeDocument/2006/relationships/footer" Target="footer2.xml"/><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image" Target="media/image2.jpeg"/><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YyzdPLeHuvuBJ/9UmsXtB87Ddw==">AMUW2mXRx3qKw7VE86KTvSLMyvdUIl0Hk0oSOaduDAqFLIyTIZ6DQlyGUZfSDsm9r+NUS9dRW8Zc56BASL9gIisCYLfg+LE8Rx9wjIcLcL39V5rQXY7KQ9t+Y1yrFxwMR7uXekY4CvxuOdIrTpNtARkVtzI2GrY4jknBtsnho9ZHHNzOQ3PhmXRW6yYnoKnWOS3amCJpjcA1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2E99702-469D-49FD-9D41-A62842E05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80</Pages>
  <Words>23345</Words>
  <Characters>128403</Characters>
  <Application>Microsoft Office Word</Application>
  <DocSecurity>0</DocSecurity>
  <Lines>1070</Lines>
  <Paragraphs>302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Vanesa GM</dc:creator>
  <cp:lastModifiedBy>adriana piraquive</cp:lastModifiedBy>
  <cp:revision>2</cp:revision>
  <dcterms:created xsi:type="dcterms:W3CDTF">2020-12-02T13:56:00Z</dcterms:created>
  <dcterms:modified xsi:type="dcterms:W3CDTF">2020-12-02T13:56:00Z</dcterms:modified>
</cp:coreProperties>
</file>